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8D0D3" w14:textId="77777777" w:rsidR="00FC7CCA" w:rsidRPr="00AC7C38" w:rsidRDefault="00FC7CCA" w:rsidP="001B6AD5">
      <w:pPr>
        <w:pStyle w:val="Title"/>
        <w:rPr>
          <w:rFonts w:ascii="Bahnschrift" w:eastAsia="Times New Roman" w:hAnsi="Bahnschrift"/>
          <w:color w:val="FFFFFF"/>
        </w:rPr>
      </w:pPr>
      <w:bookmarkStart w:id="0" w:name="_Toc231287366"/>
      <w:r w:rsidRPr="00AC7C38">
        <w:rPr>
          <w:rFonts w:ascii="Segoe UI Emoji" w:hAnsi="Segoe UI Emoji" w:cs="Segoe UI Emoji"/>
          <w:b/>
          <w:sz w:val="80"/>
          <w:szCs w:val="80"/>
        </w:rPr>
        <w:t>🔥</w:t>
      </w:r>
      <w:r w:rsidRPr="00AC7C38">
        <w:rPr>
          <w:sz w:val="80"/>
          <w:szCs w:val="80"/>
        </w:rPr>
        <w:t xml:space="preserve"> </w:t>
      </w:r>
      <w:r w:rsidRPr="00AC7C38">
        <w:t>Mbrojtja nga zjarri</w:t>
      </w:r>
      <w:bookmarkEnd w:id="0"/>
      <w:r w:rsidRPr="00AC7C38">
        <w:t xml:space="preserve"> </w:t>
      </w:r>
    </w:p>
    <w:p w14:paraId="257FE79A" w14:textId="77777777" w:rsidR="00FC7CCA" w:rsidRPr="00AC7C38" w:rsidRDefault="00FC7CCA" w:rsidP="00FC7CCA">
      <w:pPr>
        <w:spacing w:line="240" w:lineRule="auto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b/>
          <w:bCs/>
          <w:sz w:val="22"/>
          <w:szCs w:val="22"/>
        </w:rPr>
        <w:t>Përshkrim i përgjithshëm:</w:t>
      </w:r>
      <w:r w:rsidRPr="00AC7C38">
        <w:rPr>
          <w:rFonts w:ascii="Bahnschrift" w:hAnsi="Bahnschrift"/>
          <w:sz w:val="22"/>
          <w:szCs w:val="22"/>
        </w:rPr>
        <w:t xml:space="preserve"> Bashkitë kanë përgjegjësi për garantimin e shërbimit zjarrëfikës në nivel vendor dhe për administrimin e strukturave përkatëse të parandalimit dhe mbrojtjes kundër zjarrit. Ky funksion synon të sigurojë reagim të shpejtë dhe efektiv në raste emergjencash, si dhe të ndërtojë kapacitete vendore për parandalimin e zjarreve në mjedise urbane, rurale dhe pyjore. Përgjegjësitë e bashkive përfshijnë operimin dhe mirëmbajtjen e njësive zjarrëfikëse, organizimin e shërbimeve parandaluese, si dhe bashkëpunimin me strukturat qendrore për raste që tejkalojnë kapacitetet vendore. Bashkitë gjithashtu angazhohen në edukimin e komunitetit dhe trajnimin e stafit për reagim dhe menaxhim të rreziqeve nga zjarret. Aktivitete përfaqësuese përfshijnë :Funksionimi dhe pajisja e njësive zjarrëfikëse dhe shërbimeve të emergjencës; Zbatimi i masave të parandalimit në ndërtesa publike dhe hapësira komunitare; Trajnimi i stafit vendor dhe vullnetarëve për ndërhyrje dhe evakuim; Mbështetja e fushatave sensibilizuese për komunitetin në lidhje me rreziqet nga zjarri</w:t>
      </w:r>
    </w:p>
    <w:p w14:paraId="36E4B438" w14:textId="77777777" w:rsidR="00FC7CCA" w:rsidRPr="00AC7C38" w:rsidRDefault="00FC7CCA" w:rsidP="00FC7CCA">
      <w:pPr>
        <w:spacing w:after="0" w:line="240" w:lineRule="auto"/>
        <w:jc w:val="both"/>
        <w:rPr>
          <w:rFonts w:ascii="Bahnschrift" w:hAnsi="Bahnschrift" w:cs="Times New Roman"/>
          <w:b/>
          <w:bCs/>
          <w:sz w:val="22"/>
          <w:szCs w:val="22"/>
        </w:rPr>
      </w:pPr>
      <w:r w:rsidRPr="00AC7C38">
        <w:rPr>
          <w:rFonts w:ascii="Bahnschrift" w:hAnsi="Bahnschrift" w:cs="Times New Roman"/>
          <w:b/>
          <w:bCs/>
          <w:sz w:val="22"/>
          <w:szCs w:val="22"/>
        </w:rPr>
        <w:t>Analiza e shërbimit</w:t>
      </w:r>
    </w:p>
    <w:p w14:paraId="7EE2A7CD" w14:textId="77777777" w:rsidR="00FC7CCA" w:rsidRPr="00AC7C38" w:rsidRDefault="00FC7CCA" w:rsidP="00FC7CCA">
      <w:pPr>
        <w:pStyle w:val="NormalWeb"/>
        <w:spacing w:after="0" w:afterAutospacing="0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Bazuar në të dhënat e pasqyruara në raport, rezulton se gjatë viteve 2023, 2024 dhe 2025, Bashkia Prrenjas ka ruajtur të pandryshuar kapacitetin e saj bazë në këtë sektor. </w:t>
      </w:r>
    </w:p>
    <w:p w14:paraId="584C4D0C" w14:textId="77777777" w:rsidR="00FC7CCA" w:rsidRPr="00AC7C38" w:rsidRDefault="00FC7CCA" w:rsidP="00FC7CCA">
      <w:pPr>
        <w:pStyle w:val="NormalWeb"/>
        <w:spacing w:after="0" w:afterAutospacing="0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· </w:t>
      </w:r>
      <w:r w:rsidRPr="00AC7C38">
        <w:rPr>
          <w:rStyle w:val="Strong"/>
          <w:rFonts w:ascii="Bahnschrift" w:eastAsiaTheme="majorEastAsia" w:hAnsi="Bahnschrift"/>
          <w:sz w:val="22"/>
          <w:szCs w:val="22"/>
        </w:rPr>
        <w:t>Zjarrëfikës për 1,500 banorë:</w:t>
      </w:r>
      <w:r w:rsidRPr="00AC7C38">
        <w:rPr>
          <w:rFonts w:ascii="Bahnschrift" w:hAnsi="Bahnschrift"/>
          <w:sz w:val="22"/>
          <w:szCs w:val="22"/>
        </w:rPr>
        <w:t xml:space="preserve"> mbetet i pandryshuar (</w:t>
      </w:r>
      <w:r w:rsidRPr="00AC7C38">
        <w:rPr>
          <w:rStyle w:val="Strong"/>
          <w:rFonts w:ascii="Bahnschrift" w:eastAsiaTheme="majorEastAsia" w:hAnsi="Bahnschrift"/>
          <w:sz w:val="22"/>
          <w:szCs w:val="22"/>
        </w:rPr>
        <w:t xml:space="preserve">1.12 </w:t>
      </w:r>
      <w:r w:rsidRPr="00AC7C38">
        <w:rPr>
          <w:rStyle w:val="Strong"/>
          <w:rFonts w:ascii="Arial" w:eastAsiaTheme="majorEastAsia" w:hAnsi="Arial" w:cs="Arial"/>
          <w:sz w:val="22"/>
          <w:szCs w:val="22"/>
        </w:rPr>
        <w:t>→</w:t>
      </w:r>
      <w:r w:rsidRPr="00AC7C38">
        <w:rPr>
          <w:rStyle w:val="Strong"/>
          <w:rFonts w:ascii="Bahnschrift" w:eastAsiaTheme="majorEastAsia" w:hAnsi="Bahnschrift"/>
          <w:sz w:val="22"/>
          <w:szCs w:val="22"/>
        </w:rPr>
        <w:t xml:space="preserve"> 1.12</w:t>
      </w:r>
      <w:r w:rsidRPr="00AC7C38">
        <w:rPr>
          <w:rFonts w:ascii="Bahnschrift" w:hAnsi="Bahnschrift"/>
          <w:sz w:val="22"/>
          <w:szCs w:val="22"/>
        </w:rPr>
        <w:t xml:space="preserve">), duke treguar stabilitet në kapacitetet njerëzore të shërbimit zjarrëfikës. </w:t>
      </w:r>
    </w:p>
    <w:p w14:paraId="02349CA8" w14:textId="77777777" w:rsidR="00FC7CCA" w:rsidRPr="00AC7C38" w:rsidRDefault="00FC7CCA" w:rsidP="00FC7CCA">
      <w:pPr>
        <w:pStyle w:val="NormalWeb"/>
        <w:spacing w:after="0" w:afterAutospacing="0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· </w:t>
      </w:r>
      <w:r w:rsidRPr="00AC7C38">
        <w:rPr>
          <w:rStyle w:val="Strong"/>
          <w:rFonts w:ascii="Bahnschrift" w:eastAsiaTheme="majorEastAsia" w:hAnsi="Bahnschrift"/>
          <w:sz w:val="22"/>
          <w:szCs w:val="22"/>
        </w:rPr>
        <w:t>Automjete zjarrëfikëse për 10,000 banorë:</w:t>
      </w:r>
      <w:r w:rsidRPr="00AC7C38">
        <w:rPr>
          <w:rFonts w:ascii="Bahnschrift" w:hAnsi="Bahnschrift"/>
          <w:sz w:val="22"/>
          <w:szCs w:val="22"/>
        </w:rPr>
        <w:t xml:space="preserve"> mbetet gjithashtu i pandryshuar (</w:t>
      </w:r>
      <w:r w:rsidRPr="00AC7C38">
        <w:rPr>
          <w:rStyle w:val="Strong"/>
          <w:rFonts w:ascii="Bahnschrift" w:eastAsiaTheme="majorEastAsia" w:hAnsi="Bahnschrift"/>
          <w:sz w:val="22"/>
          <w:szCs w:val="22"/>
        </w:rPr>
        <w:t xml:space="preserve">0.53 </w:t>
      </w:r>
      <w:r w:rsidRPr="00AC7C38">
        <w:rPr>
          <w:rStyle w:val="Strong"/>
          <w:rFonts w:ascii="Arial" w:eastAsiaTheme="majorEastAsia" w:hAnsi="Arial" w:cs="Arial"/>
          <w:sz w:val="22"/>
          <w:szCs w:val="22"/>
        </w:rPr>
        <w:t>→</w:t>
      </w:r>
      <w:r w:rsidRPr="00AC7C38">
        <w:rPr>
          <w:rStyle w:val="Strong"/>
          <w:rFonts w:ascii="Bahnschrift" w:eastAsiaTheme="majorEastAsia" w:hAnsi="Bahnschrift"/>
          <w:sz w:val="22"/>
          <w:szCs w:val="22"/>
        </w:rPr>
        <w:t xml:space="preserve"> 0.53</w:t>
      </w:r>
      <w:r w:rsidRPr="00AC7C38">
        <w:rPr>
          <w:rFonts w:ascii="Bahnschrift" w:hAnsi="Bahnschrift"/>
          <w:sz w:val="22"/>
          <w:szCs w:val="22"/>
        </w:rPr>
        <w:t xml:space="preserve">), çka tregon mungesë të investimeve të reja në flotën e mjeteve zjarrëfikëse. </w:t>
      </w:r>
    </w:p>
    <w:p w14:paraId="376A7D99" w14:textId="77777777" w:rsidR="00FC7CCA" w:rsidRPr="00AC7C38" w:rsidRDefault="00FC7CCA" w:rsidP="00FC7CCA">
      <w:pPr>
        <w:pStyle w:val="NormalWeb"/>
        <w:spacing w:after="0" w:afterAutospacing="0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Në terma absolutë, bashkia Prrenjas disponon </w:t>
      </w:r>
      <w:r w:rsidRPr="00AC7C38">
        <w:rPr>
          <w:rStyle w:val="Strong"/>
          <w:rFonts w:ascii="Bahnschrift" w:eastAsiaTheme="majorEastAsia" w:hAnsi="Bahnschrift"/>
          <w:sz w:val="22"/>
          <w:szCs w:val="22"/>
        </w:rPr>
        <w:t>14 punonjës zjarrëfikës dhe 1 mjet zjarrëfikës funksional</w:t>
      </w:r>
      <w:r w:rsidRPr="00AC7C38">
        <w:rPr>
          <w:rFonts w:ascii="Bahnschrift" w:hAnsi="Bahnschrift"/>
          <w:sz w:val="22"/>
          <w:szCs w:val="22"/>
        </w:rPr>
        <w:t xml:space="preserve">, pa asnjë ndryshim ndër vite. </w:t>
      </w:r>
    </w:p>
    <w:p w14:paraId="0B6122A4" w14:textId="77777777" w:rsidR="00FC7CCA" w:rsidRPr="00AC7C38" w:rsidRDefault="00FC7CCA" w:rsidP="00FC7CCA">
      <w:pPr>
        <w:pStyle w:val="NormalWeb"/>
        <w:spacing w:after="0" w:afterAutospacing="0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Në tërësi, shërbimi paraqitet </w:t>
      </w:r>
      <w:r w:rsidRPr="00AC7C38">
        <w:rPr>
          <w:rStyle w:val="Strong"/>
          <w:rFonts w:ascii="Bahnschrift" w:eastAsiaTheme="majorEastAsia" w:hAnsi="Bahnschrift"/>
          <w:sz w:val="22"/>
          <w:szCs w:val="22"/>
        </w:rPr>
        <w:t>i qëndrueshëm</w:t>
      </w:r>
      <w:r w:rsidRPr="00AC7C38">
        <w:rPr>
          <w:rFonts w:ascii="Bahnschrift" w:hAnsi="Bahnschrift"/>
          <w:sz w:val="22"/>
          <w:szCs w:val="22"/>
        </w:rPr>
        <w:t>, me kapacitete të pandryshuara si në burime njerëzore ashtu edhe në mjete, por pa përmirësime apo zgjerim të mëtejshëm të shërbimit gjatë periudhës së raportimit.</w:t>
      </w:r>
    </w:p>
    <w:p w14:paraId="287A9FB5" w14:textId="77777777" w:rsidR="00FC7CCA" w:rsidRPr="00AC7C38" w:rsidRDefault="00FC7CCA" w:rsidP="00FC7CCA">
      <w:pPr>
        <w:jc w:val="both"/>
        <w:rPr>
          <w:rFonts w:ascii="Bahnschrift" w:hAnsi="Bahnschrift" w:cs="Times New Roman"/>
          <w:b/>
          <w:sz w:val="22"/>
          <w:szCs w:val="22"/>
        </w:rPr>
      </w:pPr>
    </w:p>
    <w:p w14:paraId="034DAA17" w14:textId="77777777" w:rsidR="00FC7CCA" w:rsidRPr="00AC7C38" w:rsidRDefault="00FC7CCA" w:rsidP="00FC7CCA">
      <w:pPr>
        <w:jc w:val="both"/>
        <w:rPr>
          <w:rFonts w:ascii="Bahnschrift" w:hAnsi="Bahnschrift" w:cs="Times New Roman"/>
          <w:sz w:val="22"/>
          <w:szCs w:val="22"/>
        </w:rPr>
      </w:pPr>
      <w:r w:rsidRPr="00AC7C38">
        <w:rPr>
          <w:rFonts w:ascii="Bahnschrift" w:hAnsi="Bahnschrift" w:cs="Times New Roman"/>
          <w:b/>
          <w:sz w:val="22"/>
          <w:szCs w:val="22"/>
        </w:rPr>
        <w:t>Lista e detajuar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3573"/>
        <w:gridCol w:w="1021"/>
        <w:gridCol w:w="765"/>
        <w:gridCol w:w="765"/>
        <w:gridCol w:w="765"/>
        <w:gridCol w:w="765"/>
        <w:gridCol w:w="765"/>
        <w:gridCol w:w="765"/>
      </w:tblGrid>
      <w:tr w:rsidR="00FC7CCA" w:rsidRPr="00AC7C38" w14:paraId="550B6C0E" w14:textId="77777777" w:rsidTr="00073F67">
        <w:tc>
          <w:tcPr>
            <w:tcW w:w="1021" w:type="dxa"/>
            <w:shd w:val="clear" w:color="auto" w:fill="0070C0"/>
          </w:tcPr>
          <w:p w14:paraId="5582E4D5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Lloj</w:t>
            </w:r>
          </w:p>
        </w:tc>
        <w:tc>
          <w:tcPr>
            <w:tcW w:w="3573" w:type="dxa"/>
            <w:shd w:val="clear" w:color="auto" w:fill="0070C0"/>
          </w:tcPr>
          <w:p w14:paraId="1991AD3B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Emri</w:t>
            </w:r>
          </w:p>
        </w:tc>
        <w:tc>
          <w:tcPr>
            <w:tcW w:w="1021" w:type="dxa"/>
            <w:shd w:val="clear" w:color="auto" w:fill="0070C0"/>
          </w:tcPr>
          <w:p w14:paraId="04AF5F7E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Njësia Matëse</w:t>
            </w:r>
          </w:p>
        </w:tc>
        <w:tc>
          <w:tcPr>
            <w:tcW w:w="765" w:type="dxa"/>
            <w:shd w:val="clear" w:color="auto" w:fill="0070C0"/>
          </w:tcPr>
          <w:p w14:paraId="56EF1AF2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Vlera (viti i kaluar)</w:t>
            </w:r>
          </w:p>
        </w:tc>
        <w:tc>
          <w:tcPr>
            <w:tcW w:w="765" w:type="dxa"/>
            <w:shd w:val="clear" w:color="auto" w:fill="0070C0"/>
          </w:tcPr>
          <w:p w14:paraId="2DE99C44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Vlera (viti aktual)</w:t>
            </w:r>
          </w:p>
        </w:tc>
        <w:tc>
          <w:tcPr>
            <w:tcW w:w="765" w:type="dxa"/>
            <w:shd w:val="clear" w:color="auto" w:fill="0070C0"/>
          </w:tcPr>
          <w:p w14:paraId="761CBB2F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Trendi</w:t>
            </w:r>
          </w:p>
        </w:tc>
        <w:tc>
          <w:tcPr>
            <w:tcW w:w="765" w:type="dxa"/>
            <w:shd w:val="clear" w:color="auto" w:fill="0070C0"/>
          </w:tcPr>
          <w:p w14:paraId="4745FC26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Simbol</w:t>
            </w:r>
          </w:p>
        </w:tc>
        <w:tc>
          <w:tcPr>
            <w:tcW w:w="765" w:type="dxa"/>
            <w:shd w:val="clear" w:color="auto" w:fill="0070C0"/>
          </w:tcPr>
          <w:p w14:paraId="62E7243B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% Ndryshimi</w:t>
            </w:r>
          </w:p>
        </w:tc>
        <w:tc>
          <w:tcPr>
            <w:tcW w:w="765" w:type="dxa"/>
            <w:shd w:val="clear" w:color="auto" w:fill="0070C0"/>
          </w:tcPr>
          <w:p w14:paraId="5865D0E3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Semafor</w:t>
            </w:r>
          </w:p>
        </w:tc>
      </w:tr>
      <w:tr w:rsidR="00FC7CCA" w:rsidRPr="00AC7C38" w14:paraId="367CA4F4" w14:textId="77777777" w:rsidTr="00073F67">
        <w:tc>
          <w:tcPr>
            <w:tcW w:w="1021" w:type="dxa"/>
          </w:tcPr>
          <w:p w14:paraId="323D3BE4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Tregues</w:t>
            </w:r>
          </w:p>
        </w:tc>
        <w:tc>
          <w:tcPr>
            <w:tcW w:w="3573" w:type="dxa"/>
          </w:tcPr>
          <w:p w14:paraId="722F5565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Zjarrëfikës për 1,500 banorë</w:t>
            </w:r>
          </w:p>
        </w:tc>
        <w:tc>
          <w:tcPr>
            <w:tcW w:w="1021" w:type="dxa"/>
          </w:tcPr>
          <w:p w14:paraId="1CEBED0B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punonjës/1500 banorë</w:t>
            </w:r>
          </w:p>
        </w:tc>
        <w:tc>
          <w:tcPr>
            <w:tcW w:w="765" w:type="dxa"/>
          </w:tcPr>
          <w:p w14:paraId="21F18176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1.12</w:t>
            </w:r>
          </w:p>
        </w:tc>
        <w:tc>
          <w:tcPr>
            <w:tcW w:w="765" w:type="dxa"/>
          </w:tcPr>
          <w:p w14:paraId="490043C3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1.12</w:t>
            </w:r>
          </w:p>
        </w:tc>
        <w:tc>
          <w:tcPr>
            <w:tcW w:w="765" w:type="dxa"/>
          </w:tcPr>
          <w:p w14:paraId="2A347D03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0.00</w:t>
            </w:r>
          </w:p>
        </w:tc>
        <w:tc>
          <w:tcPr>
            <w:tcW w:w="765" w:type="dxa"/>
          </w:tcPr>
          <w:p w14:paraId="3AACA884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→</w:t>
            </w:r>
          </w:p>
        </w:tc>
        <w:tc>
          <w:tcPr>
            <w:tcW w:w="765" w:type="dxa"/>
          </w:tcPr>
          <w:p w14:paraId="0CC9B449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0.00%</w:t>
            </w:r>
          </w:p>
        </w:tc>
        <w:tc>
          <w:tcPr>
            <w:tcW w:w="765" w:type="dxa"/>
          </w:tcPr>
          <w:p w14:paraId="31161050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Segoe UI Emoji" w:hAnsi="Segoe UI Emoji" w:cs="Segoe UI Emoji"/>
                <w:sz w:val="22"/>
                <w:szCs w:val="22"/>
              </w:rPr>
              <w:t>🟠</w:t>
            </w:r>
          </w:p>
        </w:tc>
      </w:tr>
      <w:tr w:rsidR="00FC7CCA" w:rsidRPr="00AC7C38" w14:paraId="3D4B7AE2" w14:textId="77777777" w:rsidTr="00073F67">
        <w:tc>
          <w:tcPr>
            <w:tcW w:w="1021" w:type="dxa"/>
          </w:tcPr>
          <w:p w14:paraId="66D100F3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lastRenderedPageBreak/>
              <w:t>Tregues</w:t>
            </w:r>
          </w:p>
        </w:tc>
        <w:tc>
          <w:tcPr>
            <w:tcW w:w="3573" w:type="dxa"/>
          </w:tcPr>
          <w:p w14:paraId="7B1E6216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Automjete zjarrëfikëse për 10,000 banorë</w:t>
            </w:r>
          </w:p>
        </w:tc>
        <w:tc>
          <w:tcPr>
            <w:tcW w:w="1021" w:type="dxa"/>
          </w:tcPr>
          <w:p w14:paraId="57A5D0D7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mjete/10000 banorë</w:t>
            </w:r>
          </w:p>
        </w:tc>
        <w:tc>
          <w:tcPr>
            <w:tcW w:w="765" w:type="dxa"/>
          </w:tcPr>
          <w:p w14:paraId="0F49A2D9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0.53</w:t>
            </w:r>
          </w:p>
        </w:tc>
        <w:tc>
          <w:tcPr>
            <w:tcW w:w="765" w:type="dxa"/>
          </w:tcPr>
          <w:p w14:paraId="16F91109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0.53</w:t>
            </w:r>
          </w:p>
        </w:tc>
        <w:tc>
          <w:tcPr>
            <w:tcW w:w="765" w:type="dxa"/>
          </w:tcPr>
          <w:p w14:paraId="6C0F5491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0.00</w:t>
            </w:r>
          </w:p>
        </w:tc>
        <w:tc>
          <w:tcPr>
            <w:tcW w:w="765" w:type="dxa"/>
          </w:tcPr>
          <w:p w14:paraId="232C37C3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→</w:t>
            </w:r>
          </w:p>
        </w:tc>
        <w:tc>
          <w:tcPr>
            <w:tcW w:w="765" w:type="dxa"/>
          </w:tcPr>
          <w:p w14:paraId="7263FBB1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0.00%</w:t>
            </w:r>
          </w:p>
        </w:tc>
        <w:tc>
          <w:tcPr>
            <w:tcW w:w="765" w:type="dxa"/>
          </w:tcPr>
          <w:p w14:paraId="00BBBCED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Segoe UI Emoji" w:hAnsi="Segoe UI Emoji" w:cs="Segoe UI Emoji"/>
                <w:sz w:val="22"/>
                <w:szCs w:val="22"/>
              </w:rPr>
              <w:t>🟠</w:t>
            </w:r>
          </w:p>
        </w:tc>
      </w:tr>
    </w:tbl>
    <w:p w14:paraId="13B5FF15" w14:textId="77777777" w:rsidR="00FC7CCA" w:rsidRPr="00AC7C38" w:rsidRDefault="00FC7CCA" w:rsidP="00FC7CCA">
      <w:pPr>
        <w:jc w:val="both"/>
        <w:rPr>
          <w:rFonts w:ascii="Bahnschrift" w:hAnsi="Bahnschrift" w:cs="Times New Roman"/>
          <w:sz w:val="22"/>
          <w:szCs w:val="22"/>
        </w:rPr>
      </w:pPr>
      <w:r w:rsidRPr="00AC7C38">
        <w:rPr>
          <w:rFonts w:ascii="Bahnschrift" w:hAnsi="Bahnschrift" w:cs="Times New Roman"/>
          <w:b/>
          <w:sz w:val="22"/>
          <w:szCs w:val="22"/>
        </w:rPr>
        <w:t>Shtojcë: Të dhënat burim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3"/>
        <w:gridCol w:w="1123"/>
        <w:gridCol w:w="1122"/>
        <w:gridCol w:w="1699"/>
        <w:gridCol w:w="812"/>
        <w:gridCol w:w="1122"/>
        <w:gridCol w:w="1122"/>
        <w:gridCol w:w="1122"/>
      </w:tblGrid>
      <w:tr w:rsidR="00FC7CCA" w:rsidRPr="00AC7C38" w14:paraId="38F6F50F" w14:textId="77777777" w:rsidTr="00073F67">
        <w:tc>
          <w:tcPr>
            <w:tcW w:w="607" w:type="pct"/>
            <w:shd w:val="clear" w:color="auto" w:fill="0070C0"/>
          </w:tcPr>
          <w:p w14:paraId="48077270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Kodi I të dhënës</w:t>
            </w:r>
          </w:p>
        </w:tc>
        <w:tc>
          <w:tcPr>
            <w:tcW w:w="607" w:type="pct"/>
            <w:shd w:val="clear" w:color="auto" w:fill="0070C0"/>
          </w:tcPr>
          <w:p w14:paraId="60BE1A29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Kodi i Treguesit</w:t>
            </w:r>
          </w:p>
        </w:tc>
        <w:tc>
          <w:tcPr>
            <w:tcW w:w="607" w:type="pct"/>
            <w:shd w:val="clear" w:color="auto" w:fill="0070C0"/>
          </w:tcPr>
          <w:p w14:paraId="77FE912D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Përdorur në treguesit</w:t>
            </w:r>
          </w:p>
        </w:tc>
        <w:tc>
          <w:tcPr>
            <w:tcW w:w="919" w:type="pct"/>
            <w:shd w:val="clear" w:color="auto" w:fill="0070C0"/>
          </w:tcPr>
          <w:p w14:paraId="7C1455F8" w14:textId="77777777" w:rsidR="00FC7CCA" w:rsidRPr="00AC7C38" w:rsidRDefault="00FC7CCA" w:rsidP="00073F67">
            <w:pPr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E dhëna</w:t>
            </w:r>
          </w:p>
        </w:tc>
        <w:tc>
          <w:tcPr>
            <w:tcW w:w="439" w:type="pct"/>
            <w:shd w:val="clear" w:color="auto" w:fill="0070C0"/>
          </w:tcPr>
          <w:p w14:paraId="3332F737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Vlera 2023</w:t>
            </w:r>
          </w:p>
        </w:tc>
        <w:tc>
          <w:tcPr>
            <w:tcW w:w="607" w:type="pct"/>
            <w:shd w:val="clear" w:color="auto" w:fill="0070C0"/>
          </w:tcPr>
          <w:p w14:paraId="4542D704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Vlera 2024</w:t>
            </w:r>
          </w:p>
        </w:tc>
        <w:tc>
          <w:tcPr>
            <w:tcW w:w="607" w:type="pct"/>
            <w:shd w:val="clear" w:color="auto" w:fill="0070C0"/>
          </w:tcPr>
          <w:p w14:paraId="303F8CB8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Vlera 2025</w:t>
            </w:r>
          </w:p>
        </w:tc>
        <w:tc>
          <w:tcPr>
            <w:tcW w:w="607" w:type="pct"/>
            <w:shd w:val="clear" w:color="auto" w:fill="0070C0"/>
          </w:tcPr>
          <w:p w14:paraId="110647A3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Njësia Matëse</w:t>
            </w:r>
          </w:p>
        </w:tc>
      </w:tr>
      <w:tr w:rsidR="00FC7CCA" w:rsidRPr="00AC7C38" w14:paraId="0CCC5A48" w14:textId="77777777" w:rsidTr="00073F67">
        <w:tc>
          <w:tcPr>
            <w:tcW w:w="607" w:type="pct"/>
          </w:tcPr>
          <w:p w14:paraId="752406CE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D51</w:t>
            </w:r>
          </w:p>
        </w:tc>
        <w:tc>
          <w:tcPr>
            <w:tcW w:w="607" w:type="pct"/>
          </w:tcPr>
          <w:p w14:paraId="0225FC2F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292A01</w:t>
            </w:r>
          </w:p>
        </w:tc>
        <w:tc>
          <w:tcPr>
            <w:tcW w:w="607" w:type="pct"/>
          </w:tcPr>
          <w:p w14:paraId="0648478F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292A01</w:t>
            </w:r>
          </w:p>
        </w:tc>
        <w:tc>
          <w:tcPr>
            <w:tcW w:w="919" w:type="pct"/>
          </w:tcPr>
          <w:p w14:paraId="1DEDDA13" w14:textId="77777777" w:rsidR="00FC7CCA" w:rsidRPr="00AC7C38" w:rsidRDefault="00FC7CCA" w:rsidP="00073F67">
            <w:pPr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Numri i punonjësve zjarrëfikës në bashki</w:t>
            </w:r>
          </w:p>
        </w:tc>
        <w:tc>
          <w:tcPr>
            <w:tcW w:w="439" w:type="pct"/>
          </w:tcPr>
          <w:p w14:paraId="48D3B9F3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07" w:type="pct"/>
          </w:tcPr>
          <w:p w14:paraId="7D916C90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07" w:type="pct"/>
          </w:tcPr>
          <w:p w14:paraId="4EFECB32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07" w:type="pct"/>
          </w:tcPr>
          <w:p w14:paraId="1FC612CF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Numër</w:t>
            </w:r>
          </w:p>
        </w:tc>
      </w:tr>
      <w:tr w:rsidR="00FC7CCA" w:rsidRPr="00AC7C38" w14:paraId="31B6BBC0" w14:textId="77777777" w:rsidTr="00073F67">
        <w:tc>
          <w:tcPr>
            <w:tcW w:w="607" w:type="pct"/>
          </w:tcPr>
          <w:p w14:paraId="16B02FC9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D52</w:t>
            </w:r>
          </w:p>
        </w:tc>
        <w:tc>
          <w:tcPr>
            <w:tcW w:w="607" w:type="pct"/>
          </w:tcPr>
          <w:p w14:paraId="0025EB45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292A01</w:t>
            </w:r>
          </w:p>
        </w:tc>
        <w:tc>
          <w:tcPr>
            <w:tcW w:w="607" w:type="pct"/>
          </w:tcPr>
          <w:p w14:paraId="49BF60DA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292A02, 292A01</w:t>
            </w:r>
          </w:p>
        </w:tc>
        <w:tc>
          <w:tcPr>
            <w:tcW w:w="919" w:type="pct"/>
          </w:tcPr>
          <w:p w14:paraId="4DF35A2C" w14:textId="77777777" w:rsidR="00FC7CCA" w:rsidRPr="00AC7C38" w:rsidRDefault="00FC7CCA" w:rsidP="00073F67">
            <w:pPr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Popullsia e përgjithshme e bashkisë</w:t>
            </w:r>
          </w:p>
        </w:tc>
        <w:tc>
          <w:tcPr>
            <w:tcW w:w="439" w:type="pct"/>
          </w:tcPr>
          <w:p w14:paraId="0BD71D15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18768</w:t>
            </w:r>
          </w:p>
        </w:tc>
        <w:tc>
          <w:tcPr>
            <w:tcW w:w="607" w:type="pct"/>
          </w:tcPr>
          <w:p w14:paraId="568372F6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18768</w:t>
            </w:r>
          </w:p>
        </w:tc>
        <w:tc>
          <w:tcPr>
            <w:tcW w:w="607" w:type="pct"/>
          </w:tcPr>
          <w:p w14:paraId="0BDE3A63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18768</w:t>
            </w:r>
          </w:p>
        </w:tc>
        <w:tc>
          <w:tcPr>
            <w:tcW w:w="607" w:type="pct"/>
          </w:tcPr>
          <w:p w14:paraId="67729478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Numër</w:t>
            </w:r>
          </w:p>
        </w:tc>
      </w:tr>
      <w:tr w:rsidR="00FC7CCA" w:rsidRPr="00AC7C38" w14:paraId="56E86381" w14:textId="77777777" w:rsidTr="00073F67">
        <w:tc>
          <w:tcPr>
            <w:tcW w:w="607" w:type="pct"/>
          </w:tcPr>
          <w:p w14:paraId="4A4D8DC4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D53</w:t>
            </w:r>
          </w:p>
        </w:tc>
        <w:tc>
          <w:tcPr>
            <w:tcW w:w="607" w:type="pct"/>
          </w:tcPr>
          <w:p w14:paraId="1C4469F4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292A02</w:t>
            </w:r>
          </w:p>
        </w:tc>
        <w:tc>
          <w:tcPr>
            <w:tcW w:w="607" w:type="pct"/>
          </w:tcPr>
          <w:p w14:paraId="07A16FA4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292A02</w:t>
            </w:r>
          </w:p>
        </w:tc>
        <w:tc>
          <w:tcPr>
            <w:tcW w:w="919" w:type="pct"/>
          </w:tcPr>
          <w:p w14:paraId="57448A51" w14:textId="77777777" w:rsidR="00FC7CCA" w:rsidRPr="00AC7C38" w:rsidRDefault="00FC7CCA" w:rsidP="00073F67">
            <w:pPr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Numri i mjeteve zjarrëfikëse funksionale në bashki</w:t>
            </w:r>
          </w:p>
        </w:tc>
        <w:tc>
          <w:tcPr>
            <w:tcW w:w="439" w:type="pct"/>
          </w:tcPr>
          <w:p w14:paraId="7B7B37EA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7" w:type="pct"/>
          </w:tcPr>
          <w:p w14:paraId="411CFAD4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7" w:type="pct"/>
          </w:tcPr>
          <w:p w14:paraId="0FCF635F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7" w:type="pct"/>
          </w:tcPr>
          <w:p w14:paraId="2223EA83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Numër</w:t>
            </w:r>
          </w:p>
        </w:tc>
      </w:tr>
      <w:tr w:rsidR="00FC7CCA" w:rsidRPr="00AC7C38" w14:paraId="254486E6" w14:textId="77777777" w:rsidTr="00073F67">
        <w:trPr>
          <w:trHeight w:val="1853"/>
        </w:trPr>
        <w:tc>
          <w:tcPr>
            <w:tcW w:w="607" w:type="pct"/>
          </w:tcPr>
          <w:p w14:paraId="2C3E2362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D50</w:t>
            </w:r>
          </w:p>
        </w:tc>
        <w:tc>
          <w:tcPr>
            <w:tcW w:w="607" w:type="pct"/>
          </w:tcPr>
          <w:p w14:paraId="66E02012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275A03</w:t>
            </w:r>
          </w:p>
        </w:tc>
        <w:tc>
          <w:tcPr>
            <w:tcW w:w="607" w:type="pct"/>
          </w:tcPr>
          <w:p w14:paraId="3F3B3897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275A03</w:t>
            </w:r>
          </w:p>
        </w:tc>
        <w:tc>
          <w:tcPr>
            <w:tcW w:w="919" w:type="pct"/>
          </w:tcPr>
          <w:p w14:paraId="5DF6E1D4" w14:textId="77777777" w:rsidR="00FC7CCA" w:rsidRPr="00AC7C38" w:rsidRDefault="00FC7CCA" w:rsidP="00073F67">
            <w:pPr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Numri i punonjësve për menaxhimin e fondit pyjor dhe kullosor</w:t>
            </w:r>
          </w:p>
        </w:tc>
        <w:tc>
          <w:tcPr>
            <w:tcW w:w="439" w:type="pct"/>
          </w:tcPr>
          <w:p w14:paraId="63426E36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07" w:type="pct"/>
          </w:tcPr>
          <w:p w14:paraId="068AF28D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07" w:type="pct"/>
          </w:tcPr>
          <w:p w14:paraId="1B87B20A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07" w:type="pct"/>
          </w:tcPr>
          <w:p w14:paraId="3FC5E08E" w14:textId="77777777" w:rsidR="00FC7CCA" w:rsidRPr="00AC7C38" w:rsidRDefault="00FC7CCA" w:rsidP="00073F6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C7C38">
              <w:rPr>
                <w:rFonts w:ascii="Calibri" w:hAnsi="Calibri" w:cs="Calibri"/>
                <w:sz w:val="22"/>
                <w:szCs w:val="22"/>
              </w:rPr>
              <w:t>Numër</w:t>
            </w:r>
          </w:p>
        </w:tc>
      </w:tr>
    </w:tbl>
    <w:p w14:paraId="50F7DAD4" w14:textId="77777777" w:rsidR="00FC7CCA" w:rsidRDefault="00FC7CCA" w:rsidP="00FC7CCA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</w:p>
    <w:p w14:paraId="1CD99BDA" w14:textId="77777777" w:rsidR="001B6AD5" w:rsidRDefault="001B6AD5" w:rsidP="00FC7CCA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</w:p>
    <w:p w14:paraId="2B1BA2EF" w14:textId="77777777" w:rsidR="001B6AD5" w:rsidRDefault="001B6AD5" w:rsidP="00FC7CCA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</w:p>
    <w:p w14:paraId="4D997643" w14:textId="77777777" w:rsidR="001B6AD5" w:rsidRDefault="001B6AD5" w:rsidP="00FC7CCA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</w:p>
    <w:p w14:paraId="1EEBCCF3" w14:textId="77777777" w:rsidR="001B6AD5" w:rsidRDefault="001B6AD5" w:rsidP="00FC7CCA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</w:p>
    <w:p w14:paraId="5A3ECE0E" w14:textId="77777777" w:rsidR="001B6AD5" w:rsidRDefault="001B6AD5" w:rsidP="00FC7CCA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</w:p>
    <w:p w14:paraId="15B31DF5" w14:textId="77777777" w:rsidR="001B6AD5" w:rsidRDefault="001B6AD5" w:rsidP="00FC7CCA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</w:p>
    <w:p w14:paraId="3E15621C" w14:textId="77777777" w:rsidR="001B6AD5" w:rsidRDefault="001B6AD5" w:rsidP="00FC7CCA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</w:p>
    <w:p w14:paraId="1E754F67" w14:textId="77777777" w:rsidR="001B6AD5" w:rsidRDefault="001B6AD5" w:rsidP="00FC7CCA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</w:p>
    <w:p w14:paraId="1900F6EF" w14:textId="77777777" w:rsidR="001B6AD5" w:rsidRPr="00AC7C38" w:rsidRDefault="001B6AD5" w:rsidP="00FC7CCA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</w:p>
    <w:p w14:paraId="4F92D679" w14:textId="77777777" w:rsidR="00FC7CCA" w:rsidRPr="00AC7C38" w:rsidRDefault="00FC7CCA" w:rsidP="00FC7CCA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  <w:r w:rsidRPr="00AC7C38">
        <w:rPr>
          <w:rFonts w:ascii="Bahnschrift" w:hAnsi="Bahnschrift" w:cs="Times New Roman"/>
          <w:b/>
          <w:bCs/>
          <w:sz w:val="22"/>
          <w:szCs w:val="22"/>
        </w:rPr>
        <w:lastRenderedPageBreak/>
        <w:t>Paraqitja grafike</w:t>
      </w:r>
    </w:p>
    <w:p w14:paraId="4F3AC988" w14:textId="77777777" w:rsidR="00FC7CCA" w:rsidRPr="00AC7C38" w:rsidRDefault="00FC7CCA" w:rsidP="00FC7CCA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  <w:r w:rsidRPr="00AC7C38">
        <w:rPr>
          <w:noProof/>
        </w:rPr>
        <w:drawing>
          <wp:inline distT="0" distB="0" distL="0" distR="0" wp14:anchorId="60C9CA06" wp14:editId="385831AE">
            <wp:extent cx="4572001" cy="2743200"/>
            <wp:effectExtent l="0" t="0" r="0" b="0"/>
            <wp:docPr id="106522816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4AA55CD-59F2-12FC-FDA9-332855BB01E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3235"/>
        <w:gridCol w:w="3147"/>
        <w:gridCol w:w="3153"/>
      </w:tblGrid>
      <w:tr w:rsidR="00FC7CCA" w:rsidRPr="00AC7C38" w14:paraId="1F77BDE3" w14:textId="77777777" w:rsidTr="00073F67">
        <w:tc>
          <w:tcPr>
            <w:tcW w:w="3235" w:type="dxa"/>
            <w:hideMark/>
          </w:tcPr>
          <w:p w14:paraId="1D523DA0" w14:textId="77777777" w:rsidR="00FC7CCA" w:rsidRPr="00AC7C38" w:rsidRDefault="00FC7CCA" w:rsidP="00073F67">
            <w:pPr>
              <w:spacing w:after="0" w:line="240" w:lineRule="auto"/>
              <w:jc w:val="both"/>
              <w:rPr>
                <w:rFonts w:ascii="Bahnschrift" w:eastAsia="Times New Roman" w:hAnsi="Bahnschrift" w:cs="Times New Roman"/>
                <w:b/>
                <w:bCs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b/>
                <w:bCs/>
                <w:sz w:val="22"/>
                <w:szCs w:val="22"/>
              </w:rPr>
              <w:t>Sfida</w:t>
            </w:r>
          </w:p>
        </w:tc>
        <w:tc>
          <w:tcPr>
            <w:tcW w:w="3147" w:type="dxa"/>
            <w:hideMark/>
          </w:tcPr>
          <w:p w14:paraId="7712E715" w14:textId="77777777" w:rsidR="00FC7CCA" w:rsidRPr="00AC7C38" w:rsidRDefault="00FC7CCA" w:rsidP="00073F67">
            <w:pPr>
              <w:spacing w:after="0" w:line="240" w:lineRule="auto"/>
              <w:jc w:val="both"/>
              <w:rPr>
                <w:rFonts w:ascii="Bahnschrift" w:eastAsia="Times New Roman" w:hAnsi="Bahnschrift" w:cs="Times New Roman"/>
                <w:b/>
                <w:bCs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b/>
                <w:bCs/>
                <w:sz w:val="22"/>
                <w:szCs w:val="22"/>
              </w:rPr>
              <w:t>Arritje</w:t>
            </w:r>
          </w:p>
        </w:tc>
        <w:tc>
          <w:tcPr>
            <w:tcW w:w="3153" w:type="dxa"/>
            <w:hideMark/>
          </w:tcPr>
          <w:p w14:paraId="2B38072B" w14:textId="77777777" w:rsidR="00FC7CCA" w:rsidRPr="00AC7C38" w:rsidRDefault="00FC7CCA" w:rsidP="00073F67">
            <w:pPr>
              <w:spacing w:after="0" w:line="240" w:lineRule="auto"/>
              <w:jc w:val="both"/>
              <w:rPr>
                <w:rFonts w:ascii="Bahnschrift" w:eastAsia="Times New Roman" w:hAnsi="Bahnschrift" w:cs="Times New Roman"/>
                <w:b/>
                <w:bCs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b/>
                <w:bCs/>
                <w:sz w:val="22"/>
                <w:szCs w:val="22"/>
              </w:rPr>
              <w:t>Objektiva</w:t>
            </w:r>
          </w:p>
        </w:tc>
      </w:tr>
      <w:tr w:rsidR="00FC7CCA" w:rsidRPr="00AC7C38" w14:paraId="5D92B8D6" w14:textId="77777777" w:rsidTr="00073F67">
        <w:tc>
          <w:tcPr>
            <w:tcW w:w="3235" w:type="dxa"/>
            <w:hideMark/>
          </w:tcPr>
          <w:p w14:paraId="4FBC68F5" w14:textId="77777777" w:rsidR="00FC7CCA" w:rsidRPr="00AC7C38" w:rsidRDefault="00FC7CCA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Numër i kufizuar i mjeteve zjarrfikëse funksionale për mbulimin e territorit. </w:t>
            </w:r>
          </w:p>
          <w:p w14:paraId="0A136163" w14:textId="77777777" w:rsidR="00FC7CCA" w:rsidRPr="00AC7C38" w:rsidRDefault="00FC7CCA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Nevojë për përmirësim të logjistikës dhe pajisjeve operacionale. </w:t>
            </w:r>
          </w:p>
          <w:p w14:paraId="248BD966" w14:textId="77777777" w:rsidR="00FC7CCA" w:rsidRPr="00AC7C38" w:rsidRDefault="00FC7CCA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Shtrirje e gjerë territoriale me zona malore e pyjore që rrisin nivelin e rrezikut. </w:t>
            </w:r>
          </w:p>
          <w:p w14:paraId="241FEE01" w14:textId="77777777" w:rsidR="00FC7CCA" w:rsidRPr="00AC7C38" w:rsidRDefault="00FC7CCA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>• Nevojë për forcim të kapaciteteve parandaluese dhe reagimit të shpejtë.</w:t>
            </w:r>
          </w:p>
        </w:tc>
        <w:tc>
          <w:tcPr>
            <w:tcW w:w="3147" w:type="dxa"/>
            <w:hideMark/>
          </w:tcPr>
          <w:p w14:paraId="77FA6EEE" w14:textId="77777777" w:rsidR="00FC7CCA" w:rsidRPr="00AC7C38" w:rsidRDefault="00FC7CCA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Ruajtje e qëndrueshme e kapaciteteve njerëzore me 14 punonjës zjarrfikës. </w:t>
            </w:r>
          </w:p>
          <w:p w14:paraId="5D7EA71B" w14:textId="77777777" w:rsidR="00FC7CCA" w:rsidRPr="00AC7C38" w:rsidRDefault="00FC7CCA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Disponueshmëri e mjetit zjarrfikës funksional gjatë vitit raportues. </w:t>
            </w:r>
          </w:p>
          <w:p w14:paraId="5EDDA062" w14:textId="77777777" w:rsidR="00FC7CCA" w:rsidRPr="00AC7C38" w:rsidRDefault="00FC7CCA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>• Vijimësi e shërbimit të emergjencës dhe reagimit ndaj rasteve me zjarr.</w:t>
            </w:r>
          </w:p>
          <w:p w14:paraId="775EA6D1" w14:textId="77777777" w:rsidR="00FC7CCA" w:rsidRPr="00AC7C38" w:rsidRDefault="00FC7CCA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>• Zbatim i masave parandaluese dhe bashkëpunim institucional në emergjenca.</w:t>
            </w:r>
          </w:p>
        </w:tc>
        <w:tc>
          <w:tcPr>
            <w:tcW w:w="3153" w:type="dxa"/>
            <w:hideMark/>
          </w:tcPr>
          <w:p w14:paraId="05328A41" w14:textId="77777777" w:rsidR="00FC7CCA" w:rsidRPr="00AC7C38" w:rsidRDefault="00FC7CCA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Rritja e numrit të mjeteve dhe modernizimi i pajisjeve zjarrfikëse. </w:t>
            </w:r>
          </w:p>
          <w:p w14:paraId="7EEE897F" w14:textId="77777777" w:rsidR="00FC7CCA" w:rsidRPr="00AC7C38" w:rsidRDefault="00FC7CCA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Forcimi i kapaciteteve njerëzore përmes trajnimeve periodike. </w:t>
            </w:r>
          </w:p>
          <w:p w14:paraId="201DBB95" w14:textId="77777777" w:rsidR="00FC7CCA" w:rsidRPr="00AC7C38" w:rsidRDefault="00FC7CCA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Përmirësimi i kohës së reagimit dhe mbulimit territorial. </w:t>
            </w:r>
          </w:p>
          <w:p w14:paraId="2FB21314" w14:textId="77777777" w:rsidR="00FC7CCA" w:rsidRPr="00AC7C38" w:rsidRDefault="00FC7CCA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>• Hartimi dhe zbatimi i planeve të menaxhimit të rrezikut nga zjarret dhe emergjencat civile.</w:t>
            </w:r>
          </w:p>
        </w:tc>
      </w:tr>
    </w:tbl>
    <w:p w14:paraId="0A004D66" w14:textId="77777777" w:rsidR="00AC16F3" w:rsidRDefault="00AC16F3"/>
    <w:sectPr w:rsidR="00AC16F3" w:rsidSect="00E53A6C">
      <w:pgSz w:w="11909" w:h="16834" w:code="9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2053"/>
    <w:rsid w:val="001A41A1"/>
    <w:rsid w:val="001B6AD5"/>
    <w:rsid w:val="00212937"/>
    <w:rsid w:val="003A5C24"/>
    <w:rsid w:val="004A0C3D"/>
    <w:rsid w:val="006F39D9"/>
    <w:rsid w:val="007112FB"/>
    <w:rsid w:val="008D33F9"/>
    <w:rsid w:val="00987AE9"/>
    <w:rsid w:val="00A52053"/>
    <w:rsid w:val="00AC16F3"/>
    <w:rsid w:val="00CC7CB6"/>
    <w:rsid w:val="00E53A6C"/>
    <w:rsid w:val="00F07624"/>
    <w:rsid w:val="00FC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90F16"/>
  <w15:chartTrackingRefBased/>
  <w15:docId w15:val="{705FDEC4-0C6C-456B-A682-C3F287DE5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CCA"/>
    <w:pPr>
      <w:spacing w:before="100" w:after="200" w:line="276" w:lineRule="auto"/>
    </w:pPr>
    <w:rPr>
      <w:rFonts w:eastAsiaTheme="minorEastAsia"/>
      <w:kern w:val="0"/>
      <w:sz w:val="20"/>
      <w:szCs w:val="20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20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20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20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20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20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20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20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20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20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205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q-AL"/>
    </w:rPr>
  </w:style>
  <w:style w:type="character" w:customStyle="1" w:styleId="Heading2Char">
    <w:name w:val="Heading 2 Char"/>
    <w:basedOn w:val="DefaultParagraphFont"/>
    <w:link w:val="Heading2"/>
    <w:uiPriority w:val="9"/>
    <w:rsid w:val="00A5205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q-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2053"/>
    <w:rPr>
      <w:rFonts w:eastAsiaTheme="majorEastAsia" w:cstheme="majorBidi"/>
      <w:color w:val="0F4761" w:themeColor="accent1" w:themeShade="BF"/>
      <w:sz w:val="28"/>
      <w:szCs w:val="28"/>
      <w:lang w:val="sq-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2053"/>
    <w:rPr>
      <w:rFonts w:eastAsiaTheme="majorEastAsia" w:cstheme="majorBidi"/>
      <w:i/>
      <w:iCs/>
      <w:color w:val="0F4761" w:themeColor="accent1" w:themeShade="BF"/>
      <w:lang w:val="sq-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2053"/>
    <w:rPr>
      <w:rFonts w:eastAsiaTheme="majorEastAsia" w:cstheme="majorBidi"/>
      <w:color w:val="0F4761" w:themeColor="accent1" w:themeShade="BF"/>
      <w:lang w:val="sq-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2053"/>
    <w:rPr>
      <w:rFonts w:eastAsiaTheme="majorEastAsia" w:cstheme="majorBidi"/>
      <w:i/>
      <w:iCs/>
      <w:color w:val="595959" w:themeColor="text1" w:themeTint="A6"/>
      <w:lang w:val="sq-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2053"/>
    <w:rPr>
      <w:rFonts w:eastAsiaTheme="majorEastAsia" w:cstheme="majorBidi"/>
      <w:color w:val="595959" w:themeColor="text1" w:themeTint="A6"/>
      <w:lang w:val="sq-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2053"/>
    <w:rPr>
      <w:rFonts w:eastAsiaTheme="majorEastAsia" w:cstheme="majorBidi"/>
      <w:i/>
      <w:iCs/>
      <w:color w:val="272727" w:themeColor="text1" w:themeTint="D8"/>
      <w:lang w:val="sq-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2053"/>
    <w:rPr>
      <w:rFonts w:eastAsiaTheme="majorEastAsia" w:cstheme="majorBidi"/>
      <w:color w:val="272727" w:themeColor="text1" w:themeTint="D8"/>
      <w:lang w:val="sq-AL"/>
    </w:rPr>
  </w:style>
  <w:style w:type="paragraph" w:styleId="Title">
    <w:name w:val="Title"/>
    <w:basedOn w:val="Normal"/>
    <w:next w:val="Normal"/>
    <w:link w:val="TitleChar"/>
    <w:uiPriority w:val="10"/>
    <w:qFormat/>
    <w:rsid w:val="00A520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2053"/>
    <w:rPr>
      <w:rFonts w:asciiTheme="majorHAnsi" w:eastAsiaTheme="majorEastAsia" w:hAnsiTheme="majorHAnsi" w:cstheme="majorBidi"/>
      <w:spacing w:val="-10"/>
      <w:kern w:val="28"/>
      <w:sz w:val="56"/>
      <w:szCs w:val="56"/>
      <w:lang w:val="sq-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20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2053"/>
    <w:rPr>
      <w:rFonts w:eastAsiaTheme="majorEastAsia" w:cstheme="majorBidi"/>
      <w:color w:val="595959" w:themeColor="text1" w:themeTint="A6"/>
      <w:spacing w:val="15"/>
      <w:sz w:val="28"/>
      <w:szCs w:val="28"/>
      <w:lang w:val="sq-AL"/>
    </w:rPr>
  </w:style>
  <w:style w:type="paragraph" w:styleId="Quote">
    <w:name w:val="Quote"/>
    <w:basedOn w:val="Normal"/>
    <w:next w:val="Normal"/>
    <w:link w:val="QuoteChar"/>
    <w:uiPriority w:val="29"/>
    <w:qFormat/>
    <w:rsid w:val="00A520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2053"/>
    <w:rPr>
      <w:i/>
      <w:iCs/>
      <w:color w:val="404040" w:themeColor="text1" w:themeTint="BF"/>
      <w:lang w:val="sq-AL"/>
    </w:rPr>
  </w:style>
  <w:style w:type="paragraph" w:styleId="ListParagraph">
    <w:name w:val="List Paragraph"/>
    <w:basedOn w:val="Normal"/>
    <w:uiPriority w:val="34"/>
    <w:qFormat/>
    <w:rsid w:val="00A520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20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20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2053"/>
    <w:rPr>
      <w:i/>
      <w:iCs/>
      <w:color w:val="0F4761" w:themeColor="accent1" w:themeShade="BF"/>
      <w:lang w:val="sq-AL"/>
    </w:rPr>
  </w:style>
  <w:style w:type="character" w:styleId="IntenseReference">
    <w:name w:val="Intense Reference"/>
    <w:basedOn w:val="DefaultParagraphFont"/>
    <w:uiPriority w:val="32"/>
    <w:qFormat/>
    <w:rsid w:val="00A5205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C7CCA"/>
    <w:pPr>
      <w:spacing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FC7CCA"/>
    <w:rPr>
      <w:b/>
      <w:bCs/>
    </w:rPr>
  </w:style>
  <w:style w:type="table" w:styleId="TableGrid">
    <w:name w:val="Table Grid"/>
    <w:basedOn w:val="TableNormal"/>
    <w:uiPriority w:val="39"/>
    <w:rsid w:val="00FC7CCA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[Bashki_Zjarri_PowerQuery_2026.xlsm]Viz!PivotTable1</c:name>
    <c:fmtId val="-1"/>
  </c:pivotSource>
  <c:chart>
    <c:autoTitleDeleted val="0"/>
    <c:pivotFmts>
      <c:pivotFmt>
        <c:idx val="0"/>
        <c:spPr>
          <a:gradFill rotWithShape="1">
            <a:gsLst>
              <a:gs pos="0">
                <a:schemeClr val="accent1">
                  <a:shade val="51000"/>
                  <a:satMod val="130000"/>
                </a:schemeClr>
              </a:gs>
              <a:gs pos="80000">
                <a:schemeClr val="accent1">
                  <a:shade val="93000"/>
                  <a:satMod val="130000"/>
                </a:schemeClr>
              </a:gs>
              <a:gs pos="100000">
                <a:schemeClr val="accent1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 w="12700">
              <a:solidFill>
                <a:schemeClr val="lt2"/>
              </a:solidFill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gradFill rotWithShape="1">
            <a:gsLst>
              <a:gs pos="0">
                <a:schemeClr val="accent1">
                  <a:shade val="51000"/>
                  <a:satMod val="130000"/>
                </a:schemeClr>
              </a:gs>
              <a:gs pos="80000">
                <a:schemeClr val="accent1">
                  <a:shade val="93000"/>
                  <a:satMod val="130000"/>
                </a:schemeClr>
              </a:gs>
              <a:gs pos="100000">
                <a:schemeClr val="accent1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 w="12700">
              <a:solidFill>
                <a:schemeClr val="lt2"/>
              </a:solidFill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gradFill rotWithShape="1">
            <a:gsLst>
              <a:gs pos="0">
                <a:schemeClr val="accent1">
                  <a:shade val="51000"/>
                  <a:satMod val="130000"/>
                </a:schemeClr>
              </a:gs>
              <a:gs pos="80000">
                <a:schemeClr val="accent1">
                  <a:shade val="93000"/>
                  <a:satMod val="130000"/>
                </a:schemeClr>
              </a:gs>
              <a:gs pos="100000">
                <a:schemeClr val="accent1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dLbl>
          <c:idx val="0"/>
          <c:tx>
            <c:rich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fld id="{587538D1-1784-430D-8A4C-78C8EEF57F0B}" type="CELLREF">
                  <a:rPr lang="en-US"/>
                  <a:pPr>
                    <a:defRPr sz="900" b="0" i="0" u="none" strike="noStrike" kern="1200" baseline="0">
                      <a:solidFill>
                        <a:schemeClr val="tx2"/>
                      </a:solidFill>
                      <a:latin typeface="+mn-lt"/>
                      <a:ea typeface="+mn-ea"/>
                      <a:cs typeface="+mn-cs"/>
                    </a:defRPr>
                  </a:pPr>
                  <a:t>[CELLREF]</a:t>
                </a:fld>
                <a:endParaRPr lang="en-US"/>
              </a:p>
            </c:rich>
          </c:tx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dlblFieldTable/>
              <c15:showDataLabelsRange val="0"/>
            </c:ext>
          </c:extLst>
        </c:dLbl>
      </c:pivotFmt>
      <c:pivotFmt>
        <c:idx val="3"/>
        <c:spPr>
          <a:gradFill rotWithShape="1">
            <a:gsLst>
              <a:gs pos="0">
                <a:schemeClr val="accent1">
                  <a:shade val="51000"/>
                  <a:satMod val="130000"/>
                </a:schemeClr>
              </a:gs>
              <a:gs pos="80000">
                <a:schemeClr val="accent1">
                  <a:shade val="93000"/>
                  <a:satMod val="130000"/>
                </a:schemeClr>
              </a:gs>
              <a:gs pos="100000">
                <a:schemeClr val="accent1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gradFill rotWithShape="1">
            <a:gsLst>
              <a:gs pos="0">
                <a:schemeClr val="accent1">
                  <a:shade val="51000"/>
                  <a:satMod val="130000"/>
                </a:schemeClr>
              </a:gs>
              <a:gs pos="80000">
                <a:schemeClr val="accent1">
                  <a:shade val="93000"/>
                  <a:satMod val="130000"/>
                </a:schemeClr>
              </a:gs>
              <a:gs pos="100000">
                <a:schemeClr val="accent1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dLbl>
          <c:idx val="0"/>
          <c:tx>
            <c:rich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fld id="{587538D1-1784-430D-8A4C-78C8EEF57F0B}" type="CELLREF">
                  <a:rPr lang="en-US"/>
                  <a:pPr>
                    <a:defRPr sz="900" b="0" i="0" u="none" strike="noStrike" kern="1200" baseline="0">
                      <a:solidFill>
                        <a:schemeClr val="tx2"/>
                      </a:solidFill>
                      <a:latin typeface="+mn-lt"/>
                      <a:ea typeface="+mn-ea"/>
                      <a:cs typeface="+mn-cs"/>
                    </a:defRPr>
                  </a:pPr>
                  <a:t>[CELLREF]</a:t>
                </a:fld>
                <a:endParaRPr lang="en-US"/>
              </a:p>
            </c:rich>
          </c:tx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dlblFieldTable/>
              <c15:showDataLabelsRange val="0"/>
            </c:ext>
          </c:extLst>
        </c:dLbl>
      </c:pivotFmt>
      <c:pivotFmt>
        <c:idx val="5"/>
        <c:spPr>
          <a:gradFill rotWithShape="1">
            <a:gsLst>
              <a:gs pos="0">
                <a:schemeClr val="accent1">
                  <a:shade val="51000"/>
                  <a:satMod val="130000"/>
                </a:schemeClr>
              </a:gs>
              <a:gs pos="80000">
                <a:schemeClr val="accent1">
                  <a:shade val="93000"/>
                  <a:satMod val="130000"/>
                </a:schemeClr>
              </a:gs>
              <a:gs pos="100000">
                <a:schemeClr val="accent1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gradFill rotWithShape="1">
            <a:gsLst>
              <a:gs pos="0">
                <a:schemeClr val="accent1">
                  <a:shade val="51000"/>
                  <a:satMod val="130000"/>
                </a:schemeClr>
              </a:gs>
              <a:gs pos="80000">
                <a:schemeClr val="accent1">
                  <a:shade val="93000"/>
                  <a:satMod val="130000"/>
                </a:schemeClr>
              </a:gs>
              <a:gs pos="100000">
                <a:schemeClr val="accent1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gradFill rotWithShape="1">
            <a:gsLst>
              <a:gs pos="0">
                <a:schemeClr val="accent1">
                  <a:shade val="51000"/>
                  <a:satMod val="130000"/>
                </a:schemeClr>
              </a:gs>
              <a:gs pos="80000">
                <a:schemeClr val="accent1">
                  <a:shade val="93000"/>
                  <a:satMod val="130000"/>
                </a:schemeClr>
              </a:gs>
              <a:gs pos="100000">
                <a:schemeClr val="accent1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dLbl>
          <c:idx val="0"/>
          <c:tx>
            <c:rich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fld id="{587538D1-1784-430D-8A4C-78C8EEF57F0B}" type="CELLREF">
                  <a:rPr lang="en-US"/>
                  <a:pPr>
                    <a:defRPr sz="900" b="0" i="0" u="none" strike="noStrike" kern="1200" baseline="0">
                      <a:solidFill>
                        <a:schemeClr val="tx2"/>
                      </a:solidFill>
                      <a:latin typeface="+mn-lt"/>
                      <a:ea typeface="+mn-ea"/>
                      <a:cs typeface="+mn-cs"/>
                    </a:defRPr>
                  </a:pPr>
                  <a:t>[CELLREF]</a:t>
                </a:fld>
                <a:endParaRPr lang="en-US"/>
              </a:p>
            </c:rich>
          </c:tx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dlblFieldTable/>
              <c15:showDataLabelsRange val="0"/>
            </c:ext>
          </c:extLst>
        </c:dLbl>
      </c:pivotFmt>
      <c:pivotFmt>
        <c:idx val="8"/>
        <c:spPr>
          <a:gradFill rotWithShape="1">
            <a:gsLst>
              <a:gs pos="0">
                <a:schemeClr val="accent1">
                  <a:shade val="51000"/>
                  <a:satMod val="130000"/>
                </a:schemeClr>
              </a:gs>
              <a:gs pos="80000">
                <a:schemeClr val="accent1">
                  <a:shade val="93000"/>
                  <a:satMod val="130000"/>
                </a:schemeClr>
              </a:gs>
              <a:gs pos="100000">
                <a:schemeClr val="accent1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in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Viz!$B$1</c:f>
              <c:strCache>
                <c:ptCount val="1"/>
                <c:pt idx="0">
                  <c:v>Vlera 2024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230A-4BA9-B052-EB2BBA9740E8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fld id="{587538D1-1784-430D-8A4C-78C8EEF57F0B}" type="CELLREF">
                      <a:rPr lang="en-US"/>
                      <a:pPr/>
                      <a:t>[CELLREF]</a:t>
                    </a:fld>
                    <a:endParaRPr lang="en-US"/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>
                    <c15:dlblFTEntry>
                      <c15:txfldGUID>{587538D1-1784-430D-8A4C-78C8EEF57F0B}</c15:txfldGUID>
                      <c15:f>Viz!$B$2</c15:f>
                      <c15:dlblFieldTableCache>
                        <c:ptCount val="1"/>
                        <c:pt idx="0">
                          <c:v>0.53</c:v>
                        </c:pt>
                      </c15:dlblFieldTableCache>
                    </c15:dlblFTEntry>
                  </c15:dlblFieldTable>
                  <c15:showDataLabelsRange val="0"/>
                </c:ext>
                <c:ext xmlns:c16="http://schemas.microsoft.com/office/drawing/2014/chart" uri="{C3380CC4-5D6E-409C-BE32-E72D297353CC}">
                  <c16:uniqueId val="{00000000-230A-4BA9-B052-EB2BBA9740E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Viz!$A$2:$A$4</c:f>
              <c:strCache>
                <c:ptCount val="2"/>
                <c:pt idx="0">
                  <c:v>Automjete zjarrëfikëse për 10,000 banorë</c:v>
                </c:pt>
                <c:pt idx="1">
                  <c:v>Zjarrëfikës për 1,500 banorë</c:v>
                </c:pt>
              </c:strCache>
            </c:strRef>
          </c:cat>
          <c:val>
            <c:numRef>
              <c:f>Viz!$B$2:$B$4</c:f>
              <c:numCache>
                <c:formatCode>0.00</c:formatCode>
                <c:ptCount val="2"/>
                <c:pt idx="0">
                  <c:v>0.53282182438192671</c:v>
                </c:pt>
                <c:pt idx="1">
                  <c:v>1.118925831202046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30A-4BA9-B052-EB2BBA9740E8}"/>
            </c:ext>
          </c:extLst>
        </c:ser>
        <c:ser>
          <c:idx val="1"/>
          <c:order val="1"/>
          <c:tx>
            <c:strRef>
              <c:f>Viz!$C$1</c:f>
              <c:strCache>
                <c:ptCount val="1"/>
                <c:pt idx="0">
                  <c:v>Vlera 2025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Viz!$A$2:$A$4</c:f>
              <c:strCache>
                <c:ptCount val="2"/>
                <c:pt idx="0">
                  <c:v>Automjete zjarrëfikëse për 10,000 banorë</c:v>
                </c:pt>
                <c:pt idx="1">
                  <c:v>Zjarrëfikës për 1,500 banorë</c:v>
                </c:pt>
              </c:strCache>
            </c:strRef>
          </c:cat>
          <c:val>
            <c:numRef>
              <c:f>Viz!$C$2:$C$4</c:f>
              <c:numCache>
                <c:formatCode>0.00</c:formatCode>
                <c:ptCount val="2"/>
                <c:pt idx="0">
                  <c:v>0.53282182438192671</c:v>
                </c:pt>
                <c:pt idx="1">
                  <c:v>1.118925831202046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30A-4BA9-B052-EB2BBA9740E8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431588991"/>
        <c:axId val="1431589471"/>
      </c:barChart>
      <c:catAx>
        <c:axId val="143158899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31589471"/>
        <c:crosses val="autoZero"/>
        <c:auto val="1"/>
        <c:lblAlgn val="ctr"/>
        <c:lblOffset val="100"/>
        <c:noMultiLvlLbl val="0"/>
      </c:catAx>
      <c:valAx>
        <c:axId val="143158947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3158899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Belba</dc:creator>
  <cp:keywords/>
  <dc:description/>
  <cp:lastModifiedBy>Elsa Belba</cp:lastModifiedBy>
  <cp:revision>3</cp:revision>
  <dcterms:created xsi:type="dcterms:W3CDTF">2026-09-28T07:59:00Z</dcterms:created>
  <dcterms:modified xsi:type="dcterms:W3CDTF">2026-09-28T08:00:00Z</dcterms:modified>
</cp:coreProperties>
</file>