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20D1A" w14:textId="77777777" w:rsidR="00143E48" w:rsidRPr="00AC7C38" w:rsidRDefault="00143E48" w:rsidP="00143E48">
      <w:pPr>
        <w:pStyle w:val="Title"/>
        <w:rPr>
          <w:sz w:val="72"/>
          <w:szCs w:val="72"/>
        </w:rPr>
      </w:pPr>
      <w:bookmarkStart w:id="0" w:name="_Toc231287365"/>
      <w:r w:rsidRPr="00AC7C38">
        <w:rPr>
          <w:rFonts w:ascii="Segoe UI Symbol" w:hAnsi="Segoe UI Symbol" w:cs="Segoe UI Symbol"/>
          <w:b/>
          <w:sz w:val="80"/>
          <w:szCs w:val="80"/>
        </w:rPr>
        <w:t>🗑</w:t>
      </w:r>
      <w:r w:rsidRPr="00AC7C38">
        <w:rPr>
          <w:sz w:val="80"/>
          <w:szCs w:val="80"/>
        </w:rPr>
        <w:t xml:space="preserve"> </w:t>
      </w:r>
      <w:r w:rsidRPr="00AC7C38">
        <w:t>Menaxhimi i Mbetjeve</w:t>
      </w:r>
      <w:bookmarkEnd w:id="0"/>
      <w:r w:rsidRPr="00AC7C38">
        <w:t xml:space="preserve"> </w:t>
      </w:r>
    </w:p>
    <w:p w14:paraId="321D597D" w14:textId="77777777" w:rsidR="00143E48" w:rsidRPr="00AC7C38" w:rsidRDefault="00143E48" w:rsidP="00143E48">
      <w:pPr>
        <w:jc w:val="both"/>
        <w:rPr>
          <w:rFonts w:ascii="Bahnschrift" w:hAnsi="Bahnschrift"/>
          <w:sz w:val="22"/>
          <w:szCs w:val="22"/>
        </w:rPr>
      </w:pPr>
      <w:bookmarkStart w:id="1" w:name="_Hlk210900025"/>
      <w:r w:rsidRPr="00AC7C38">
        <w:rPr>
          <w:rFonts w:ascii="Bahnschrift" w:hAnsi="Bahnschrift"/>
          <w:b/>
          <w:bCs/>
          <w:sz w:val="22"/>
          <w:szCs w:val="22"/>
        </w:rPr>
        <w:t>Përshkrim i përgjithshëm:</w:t>
      </w:r>
      <w:r w:rsidRPr="00AC7C38">
        <w:rPr>
          <w:rFonts w:ascii="Bahnschrift" w:hAnsi="Bahnschrift"/>
          <w:sz w:val="22"/>
          <w:szCs w:val="22"/>
        </w:rPr>
        <w:t xml:space="preserve"> </w:t>
      </w:r>
      <w:bookmarkEnd w:id="1"/>
      <w:r w:rsidRPr="00AC7C38">
        <w:rPr>
          <w:rFonts w:ascii="Bahnschrift" w:hAnsi="Bahnschrift"/>
          <w:sz w:val="22"/>
          <w:szCs w:val="22"/>
        </w:rPr>
        <w:t>Bashkitë janë përgjegjëse për menaxhimin e mbetjeve urbane dhe mbrojtjen e mjedisit në territorin e tyre. Ky funksion përfshin të gjitha aspektet që lidhen me mbledhjen, largimin, transportin, trajtimin dhe depozitimin e mbetjeve, si dhe mirëmbajtjen e pastërtisë në hapësirat publike si rrugët, sheshet, tregjet dhe parqet. Nëpërmjet këtij funksioni, bashkitë sigurojnë krijimin dhe operimin e sistemeve vendore për menaxhimin e mbetjeve, duke përfshirë strukturat teknike, logjistikën, kontraktimin e subjekteve private dhe kontrollin e zbatimit të standardeve mjedisore. Shembuj të aktiviteteve përfshijnë:  Mbikëqyrjen dhe funksionimin e sistemeve për grumbullimin dhe trajtimin e mbetjeve; Pastrimin dhe mirëmbajtjen e hapësirave publike (rrugë, parqe, tregje, kopshte publike); Dhënien e granteve ose fondeve për investime në infrastrukturën e mbetjeve; Monitorimin e ndotjes dhe koordinimin me institucionet për mbrojtjen e mjedisit. Ky funksion rrjedh nga Ligji Nr. 139/2015 “Për vetëqeverisjen vendore”, neni 23, i cili i njeh bashkive kompetencën për menaxhimin e shërbimeve publike vendore, përfshirë menaxhimin e mbetjeve urbane dhe mirëmbajtjen e pastërtisë publike.</w:t>
      </w:r>
    </w:p>
    <w:p w14:paraId="2AFEEF59" w14:textId="77777777" w:rsidR="00143E48" w:rsidRPr="00AC7C38" w:rsidRDefault="00143E48" w:rsidP="00143E48">
      <w:pPr>
        <w:jc w:val="both"/>
        <w:rPr>
          <w:rFonts w:ascii="Bahnschrift" w:hAnsi="Bahnschrift"/>
          <w:b/>
          <w:bCs/>
          <w:sz w:val="22"/>
          <w:szCs w:val="22"/>
        </w:rPr>
      </w:pPr>
      <w:r w:rsidRPr="00AC7C38">
        <w:rPr>
          <w:rFonts w:ascii="Bahnschrift" w:hAnsi="Bahnschrift"/>
          <w:b/>
          <w:bCs/>
          <w:sz w:val="22"/>
          <w:szCs w:val="22"/>
        </w:rPr>
        <w:t>Analiza e shërbimit</w:t>
      </w:r>
    </w:p>
    <w:p w14:paraId="1130E222" w14:textId="77777777" w:rsidR="00143E48" w:rsidRPr="00AC7C38" w:rsidRDefault="00143E48" w:rsidP="00143E48">
      <w:pPr>
        <w:jc w:val="both"/>
        <w:rPr>
          <w:rFonts w:ascii="Bahnschrift" w:hAnsi="Bahnschrift"/>
          <w:sz w:val="22"/>
          <w:szCs w:val="22"/>
        </w:rPr>
      </w:pPr>
      <w:r w:rsidRPr="00AC7C38">
        <w:rPr>
          <w:rFonts w:ascii="Bahnschrift" w:hAnsi="Bahnschrift"/>
          <w:sz w:val="22"/>
          <w:szCs w:val="22"/>
        </w:rPr>
        <w:t xml:space="preserve">Sektori i Menaxhimit të Mbetjeve vlerësohet përmes 4 treguesve dhe 2 nën-treguesve, të cilët matin mbulimin e shërbimit, performancën financiare dhe kuadrin planifikues të bashkisë. Referuar të dhënave të vitit aktual krahasuar me vitin e kaluar, evidentohet një ecuri përgjithësisht pozitive e shërbimit, me përmirësim në shumicën e treguesve kryesorë. </w:t>
      </w:r>
    </w:p>
    <w:p w14:paraId="1B5FD9B1" w14:textId="77777777" w:rsidR="00143E48" w:rsidRPr="00AC7C38" w:rsidRDefault="00143E48" w:rsidP="00143E48">
      <w:pPr>
        <w:jc w:val="both"/>
        <w:rPr>
          <w:rFonts w:ascii="Bahnschrift" w:hAnsi="Bahnschrift"/>
          <w:sz w:val="22"/>
          <w:szCs w:val="22"/>
        </w:rPr>
      </w:pPr>
      <w:r w:rsidRPr="00AC7C38">
        <w:rPr>
          <w:rFonts w:ascii="Bahnschrift" w:hAnsi="Bahnschrift"/>
          <w:sz w:val="22"/>
          <w:szCs w:val="22"/>
        </w:rPr>
        <w:t>Nga analiza e treguesve rezulton se 2 tregues janë përmirësuar, ndërsa 4 tregues/nën-tregues kanë mbetur pa ndryshim. Treguesi i mbulimit të popullsisë me shërbimin e menaxhimit të mbetjeve në zonat urbane/rurale rezulton 80%, i njëjtë me vitin e kaluar. Kjo tregon ruajtje të nivelit ekzistues të ofrimit të shërbimit dhe stabilitet operacional.</w:t>
      </w:r>
    </w:p>
    <w:p w14:paraId="472F1CA3" w14:textId="77777777" w:rsidR="00143E48" w:rsidRPr="00AC7C38" w:rsidRDefault="00143E48" w:rsidP="00143E48">
      <w:pPr>
        <w:jc w:val="both"/>
        <w:rPr>
          <w:rFonts w:ascii="Bahnschrift" w:hAnsi="Bahnschrift"/>
          <w:sz w:val="22"/>
          <w:szCs w:val="22"/>
        </w:rPr>
      </w:pPr>
      <w:r w:rsidRPr="00AC7C38">
        <w:rPr>
          <w:rFonts w:ascii="Bahnschrift" w:hAnsi="Bahnschrift"/>
          <w:sz w:val="22"/>
          <w:szCs w:val="22"/>
        </w:rPr>
        <w:t xml:space="preserve">Gjithashtu, sipas tabelës së treguesve, mbetjet e gjeneruara në kg për banor janë rritur nga 78.05 kg/banor në 144.16 kg/banor, me një ndryshim prej 84.69%, tregues i cili në tabelë është klasifikuar me trend pozitiv. </w:t>
      </w:r>
    </w:p>
    <w:p w14:paraId="756A8209" w14:textId="77777777" w:rsidR="00143E48" w:rsidRPr="00AC7C38" w:rsidRDefault="00143E48" w:rsidP="00143E48">
      <w:pPr>
        <w:jc w:val="both"/>
        <w:rPr>
          <w:rFonts w:ascii="Bahnschrift" w:hAnsi="Bahnschrift"/>
          <w:sz w:val="22"/>
          <w:szCs w:val="22"/>
        </w:rPr>
      </w:pPr>
      <w:r w:rsidRPr="00AC7C38">
        <w:rPr>
          <w:rFonts w:ascii="Bahnschrift" w:hAnsi="Bahnschrift"/>
          <w:sz w:val="22"/>
          <w:szCs w:val="22"/>
        </w:rPr>
        <w:t xml:space="preserve">Në të njëjtën linjë pozitive paraqitet edhe mbulimi i kostos së menaxhimit të mbetjeve nga tarifa e shërbimit, i cili është rritur nga 45.90% në 57.11%, me një rritje prej 11.21 pp. Ky zhvillim dëshmon për përmirësim të qëndrueshmërisë financiare të shërbimit dhe për një nivel më të lartë rikuperimi të kostove përmes të ardhurave nga tarifa. </w:t>
      </w:r>
    </w:p>
    <w:p w14:paraId="120B97E5" w14:textId="77777777" w:rsidR="00143E48" w:rsidRPr="00AC7C38" w:rsidRDefault="00143E48" w:rsidP="00143E48">
      <w:pPr>
        <w:jc w:val="both"/>
        <w:rPr>
          <w:rFonts w:ascii="Bahnschrift" w:hAnsi="Bahnschrift"/>
          <w:sz w:val="22"/>
          <w:szCs w:val="22"/>
        </w:rPr>
      </w:pPr>
      <w:r w:rsidRPr="00AC7C38">
        <w:rPr>
          <w:rFonts w:ascii="Bahnschrift" w:hAnsi="Bahnschrift"/>
          <w:sz w:val="22"/>
          <w:szCs w:val="22"/>
        </w:rPr>
        <w:t xml:space="preserve">Sa i përket nën-treguesve, mbulimi i popullsisë në zonat urbane ka mbetur 100%, pa ndryshim nga viti i kaluar, çka tregon ruajtje të plotë të shërbimit në qendrat urbane. Ndërkohë, mbulimi në </w:t>
      </w:r>
      <w:r w:rsidRPr="00AC7C38">
        <w:rPr>
          <w:rFonts w:ascii="Bahnschrift" w:hAnsi="Bahnschrift"/>
          <w:b/>
          <w:bCs/>
          <w:sz w:val="22"/>
          <w:szCs w:val="22"/>
        </w:rPr>
        <w:t>zonat rurale</w:t>
      </w:r>
      <w:r w:rsidRPr="00AC7C38">
        <w:rPr>
          <w:rFonts w:ascii="Bahnschrift" w:hAnsi="Bahnschrift"/>
          <w:sz w:val="22"/>
          <w:szCs w:val="22"/>
        </w:rPr>
        <w:t xml:space="preserve"> rezulton </w:t>
      </w:r>
      <w:r w:rsidRPr="00AC7C38">
        <w:rPr>
          <w:rFonts w:ascii="Bahnschrift" w:hAnsi="Bahnschrift"/>
          <w:b/>
          <w:bCs/>
          <w:sz w:val="22"/>
          <w:szCs w:val="22"/>
        </w:rPr>
        <w:t>60%</w:t>
      </w:r>
      <w:r w:rsidRPr="00AC7C38">
        <w:rPr>
          <w:rFonts w:ascii="Bahnschrift" w:hAnsi="Bahnschrift"/>
          <w:sz w:val="22"/>
          <w:szCs w:val="22"/>
        </w:rPr>
        <w:t xml:space="preserve">, po ashtu i pandryshuar nga viti i kaluar. Kjo tregon se shërbimi në zonat rurale është ruajtur, por mbetet nevoja për zgjerim të mëtejshëm të tij. </w:t>
      </w:r>
    </w:p>
    <w:p w14:paraId="61CEF326" w14:textId="77777777" w:rsidR="00143E48" w:rsidRPr="00AC7C38" w:rsidRDefault="00143E48" w:rsidP="00143E48">
      <w:pPr>
        <w:jc w:val="both"/>
        <w:rPr>
          <w:rFonts w:ascii="Bahnschrift" w:hAnsi="Bahnschrift"/>
          <w:sz w:val="22"/>
          <w:szCs w:val="22"/>
        </w:rPr>
      </w:pPr>
      <w:r w:rsidRPr="00AC7C38">
        <w:rPr>
          <w:rFonts w:ascii="Bahnschrift" w:hAnsi="Bahnschrift"/>
          <w:sz w:val="22"/>
          <w:szCs w:val="22"/>
        </w:rPr>
        <w:t xml:space="preserve">Nga ana tjetër, Plani Vendor i Menaxhimit të Mbetjeve rezulton i miratuar ose në zbatim si në vitin e kaluar, ashtu edhe në vitin aktual, duke mbetur në të njëjtin nivel. Kjo tregon </w:t>
      </w:r>
      <w:r w:rsidRPr="00AC7C38">
        <w:rPr>
          <w:rFonts w:ascii="Bahnschrift" w:hAnsi="Bahnschrift"/>
          <w:sz w:val="22"/>
          <w:szCs w:val="22"/>
        </w:rPr>
        <w:lastRenderedPageBreak/>
        <w:t xml:space="preserve">vazhdimësi institucionale dhe ekzistencën e një kuadri planifikues për orientimin e politikave dhe ndërhyrjeve në këtë sektor. </w:t>
      </w:r>
    </w:p>
    <w:p w14:paraId="5B52D32B" w14:textId="77777777" w:rsidR="00143E48" w:rsidRPr="00AC7C38" w:rsidRDefault="00143E48" w:rsidP="00143E48">
      <w:pPr>
        <w:jc w:val="both"/>
        <w:rPr>
          <w:rFonts w:ascii="Bahnschrift" w:hAnsi="Bahnschrift"/>
          <w:sz w:val="22"/>
          <w:szCs w:val="22"/>
        </w:rPr>
      </w:pPr>
      <w:r w:rsidRPr="00AC7C38">
        <w:rPr>
          <w:rFonts w:ascii="Bahnschrift" w:hAnsi="Bahnschrift"/>
          <w:sz w:val="22"/>
          <w:szCs w:val="22"/>
        </w:rPr>
        <w:t>Në përmbledhje, shërbimi i menaxhimit të mbetjeve paraqet stabilitet në mbulimin territorial dhe përmirësim në treguesit financiarë. Ruajtja e mbulimit të plotë urban, stabiliteti në zonat rurale, rritja e mbulimit të kostove dhe vijimësia e planit vendor tregojnë se bashkia ka ruajtur funksionalitetin e shërbimit, ndërkohë që mbetet e nevojshme zgjerimi gradual i shërbimit në zonat rurale dhe forcimi i masave për menaxhim sa më efikas të mbetjeve.</w:t>
      </w:r>
    </w:p>
    <w:p w14:paraId="137BF4B6" w14:textId="77777777" w:rsidR="00143E48" w:rsidRPr="00AC7C38" w:rsidRDefault="00143E48" w:rsidP="00143E48">
      <w:pPr>
        <w:jc w:val="both"/>
        <w:rPr>
          <w:rFonts w:ascii="Bahnschrift" w:hAnsi="Bahnschrift" w:cs="Times New Roman"/>
          <w:b/>
          <w:bCs/>
          <w:sz w:val="22"/>
          <w:szCs w:val="22"/>
        </w:rPr>
      </w:pPr>
    </w:p>
    <w:p w14:paraId="1567A6AA" w14:textId="77777777" w:rsidR="00143E48" w:rsidRPr="00AC7C38" w:rsidRDefault="00143E48" w:rsidP="00143E48">
      <w:pPr>
        <w:jc w:val="both"/>
        <w:rPr>
          <w:rFonts w:ascii="Bahnschrift" w:hAnsi="Bahnschrift" w:cs="Times New Roman"/>
          <w:b/>
          <w:bCs/>
          <w:sz w:val="22"/>
          <w:szCs w:val="22"/>
        </w:rPr>
      </w:pPr>
      <w:r w:rsidRPr="00AC7C38">
        <w:rPr>
          <w:rFonts w:ascii="Bahnschrift" w:hAnsi="Bahnschrift" w:cs="Times New Roman"/>
          <w:b/>
          <w:bCs/>
          <w:sz w:val="22"/>
          <w:szCs w:val="22"/>
        </w:rPr>
        <w:t>Paraqitje grafike</w:t>
      </w:r>
    </w:p>
    <w:p w14:paraId="4471723E" w14:textId="77777777" w:rsidR="00143E48" w:rsidRPr="00AC7C38" w:rsidRDefault="00143E48" w:rsidP="00143E48">
      <w:pPr>
        <w:jc w:val="both"/>
        <w:rPr>
          <w:rFonts w:ascii="Bahnschrift" w:hAnsi="Bahnschrift" w:cs="Times New Roman"/>
          <w:b/>
          <w:bCs/>
          <w:sz w:val="22"/>
          <w:szCs w:val="22"/>
        </w:rPr>
      </w:pPr>
      <w:r w:rsidRPr="00AC7C38">
        <w:rPr>
          <w:noProof/>
        </w:rPr>
        <w:drawing>
          <wp:inline distT="0" distB="0" distL="0" distR="0" wp14:anchorId="70FC29FA" wp14:editId="14E34FD0">
            <wp:extent cx="4962525" cy="2867025"/>
            <wp:effectExtent l="0" t="0" r="9525" b="9525"/>
            <wp:docPr id="80707553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14AA55CD-59F2-12FC-FDA9-332855BB01E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4F388DFD" w14:textId="77777777" w:rsidR="00143E48" w:rsidRPr="00AC7C38" w:rsidRDefault="00143E48" w:rsidP="00143E48">
      <w:pPr>
        <w:jc w:val="both"/>
        <w:rPr>
          <w:rFonts w:ascii="Bahnschrift" w:hAnsi="Bahnschrift" w:cs="Calibri"/>
          <w:b/>
          <w:bCs/>
          <w:sz w:val="24"/>
          <w:szCs w:val="22"/>
        </w:rPr>
      </w:pPr>
      <w:r w:rsidRPr="00AC7C38">
        <w:rPr>
          <w:rFonts w:ascii="Bahnschrift" w:hAnsi="Bahnschrift" w:cs="Calibri"/>
          <w:b/>
          <w:bCs/>
          <w:sz w:val="22"/>
          <w:szCs w:val="22"/>
        </w:rPr>
        <w:t>Lista e detajuar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1"/>
        <w:gridCol w:w="3573"/>
        <w:gridCol w:w="1021"/>
        <w:gridCol w:w="765"/>
        <w:gridCol w:w="765"/>
        <w:gridCol w:w="765"/>
        <w:gridCol w:w="765"/>
        <w:gridCol w:w="765"/>
        <w:gridCol w:w="765"/>
      </w:tblGrid>
      <w:tr w:rsidR="00143E48" w:rsidRPr="00AC7C38" w14:paraId="482F38F3" w14:textId="77777777" w:rsidTr="00073F67">
        <w:tc>
          <w:tcPr>
            <w:tcW w:w="1021" w:type="dxa"/>
            <w:shd w:val="clear" w:color="auto" w:fill="0070C0"/>
          </w:tcPr>
          <w:p w14:paraId="47ABF81A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color w:val="FFFFFF"/>
                <w:sz w:val="22"/>
              </w:rPr>
              <w:t>Lloj</w:t>
            </w:r>
          </w:p>
        </w:tc>
        <w:tc>
          <w:tcPr>
            <w:tcW w:w="3573" w:type="dxa"/>
            <w:shd w:val="clear" w:color="auto" w:fill="0070C0"/>
          </w:tcPr>
          <w:p w14:paraId="2B59EB71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color w:val="FFFFFF"/>
                <w:sz w:val="22"/>
              </w:rPr>
              <w:t>Emri</w:t>
            </w:r>
          </w:p>
        </w:tc>
        <w:tc>
          <w:tcPr>
            <w:tcW w:w="1021" w:type="dxa"/>
            <w:shd w:val="clear" w:color="auto" w:fill="0070C0"/>
          </w:tcPr>
          <w:p w14:paraId="33AA1A67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color w:val="FFFFFF"/>
                <w:sz w:val="22"/>
              </w:rPr>
              <w:t>Njësia Matëse</w:t>
            </w:r>
          </w:p>
        </w:tc>
        <w:tc>
          <w:tcPr>
            <w:tcW w:w="765" w:type="dxa"/>
            <w:shd w:val="clear" w:color="auto" w:fill="0070C0"/>
          </w:tcPr>
          <w:p w14:paraId="1FC3BEC8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color w:val="FFFFFF"/>
                <w:sz w:val="22"/>
              </w:rPr>
              <w:t>Vlera (viti i kaluar)</w:t>
            </w:r>
          </w:p>
        </w:tc>
        <w:tc>
          <w:tcPr>
            <w:tcW w:w="765" w:type="dxa"/>
            <w:shd w:val="clear" w:color="auto" w:fill="0070C0"/>
          </w:tcPr>
          <w:p w14:paraId="337ABE92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color w:val="FFFFFF"/>
                <w:sz w:val="22"/>
              </w:rPr>
              <w:t>Vlera (viti aktual)</w:t>
            </w:r>
          </w:p>
        </w:tc>
        <w:tc>
          <w:tcPr>
            <w:tcW w:w="765" w:type="dxa"/>
            <w:shd w:val="clear" w:color="auto" w:fill="0070C0"/>
          </w:tcPr>
          <w:p w14:paraId="06EDBE8F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color w:val="FFFFFF"/>
                <w:sz w:val="22"/>
              </w:rPr>
              <w:t>Trendi</w:t>
            </w:r>
          </w:p>
        </w:tc>
        <w:tc>
          <w:tcPr>
            <w:tcW w:w="765" w:type="dxa"/>
            <w:shd w:val="clear" w:color="auto" w:fill="0070C0"/>
          </w:tcPr>
          <w:p w14:paraId="69B42D6B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color w:val="FFFFFF"/>
                <w:sz w:val="22"/>
              </w:rPr>
              <w:t>Simbol</w:t>
            </w:r>
          </w:p>
        </w:tc>
        <w:tc>
          <w:tcPr>
            <w:tcW w:w="765" w:type="dxa"/>
            <w:shd w:val="clear" w:color="auto" w:fill="0070C0"/>
          </w:tcPr>
          <w:p w14:paraId="403F47EC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color w:val="FFFFFF"/>
                <w:sz w:val="22"/>
              </w:rPr>
              <w:t>% Ndryshimi</w:t>
            </w:r>
          </w:p>
        </w:tc>
        <w:tc>
          <w:tcPr>
            <w:tcW w:w="765" w:type="dxa"/>
            <w:shd w:val="clear" w:color="auto" w:fill="0070C0"/>
          </w:tcPr>
          <w:p w14:paraId="56B711B5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color w:val="FFFFFF"/>
                <w:sz w:val="22"/>
              </w:rPr>
              <w:t>Semafor</w:t>
            </w:r>
          </w:p>
        </w:tc>
      </w:tr>
      <w:tr w:rsidR="00143E48" w:rsidRPr="00AC7C38" w14:paraId="44DF9FFB" w14:textId="77777777" w:rsidTr="00073F67">
        <w:tc>
          <w:tcPr>
            <w:tcW w:w="1021" w:type="dxa"/>
          </w:tcPr>
          <w:p w14:paraId="56A8A734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Tregues</w:t>
            </w:r>
          </w:p>
        </w:tc>
        <w:tc>
          <w:tcPr>
            <w:tcW w:w="3573" w:type="dxa"/>
          </w:tcPr>
          <w:p w14:paraId="1F23696F" w14:textId="77777777" w:rsidR="00143E48" w:rsidRPr="00AC7C38" w:rsidRDefault="00143E48" w:rsidP="00073F67">
            <w:pPr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Mbulimi i popullsisë me shërbimin e menaxhimit të mbetjeve në zonat urbane/rurale</w:t>
            </w:r>
          </w:p>
        </w:tc>
        <w:tc>
          <w:tcPr>
            <w:tcW w:w="1021" w:type="dxa"/>
          </w:tcPr>
          <w:p w14:paraId="2C907E40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%</w:t>
            </w:r>
          </w:p>
        </w:tc>
        <w:tc>
          <w:tcPr>
            <w:tcW w:w="765" w:type="dxa"/>
          </w:tcPr>
          <w:p w14:paraId="3E481632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80.00</w:t>
            </w:r>
          </w:p>
        </w:tc>
        <w:tc>
          <w:tcPr>
            <w:tcW w:w="765" w:type="dxa"/>
          </w:tcPr>
          <w:p w14:paraId="6E8857CD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80.00</w:t>
            </w:r>
          </w:p>
        </w:tc>
        <w:tc>
          <w:tcPr>
            <w:tcW w:w="765" w:type="dxa"/>
          </w:tcPr>
          <w:p w14:paraId="7F9D32EE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</w:t>
            </w:r>
          </w:p>
        </w:tc>
        <w:tc>
          <w:tcPr>
            <w:tcW w:w="765" w:type="dxa"/>
          </w:tcPr>
          <w:p w14:paraId="4CB7BE2F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→</w:t>
            </w:r>
          </w:p>
        </w:tc>
        <w:tc>
          <w:tcPr>
            <w:tcW w:w="765" w:type="dxa"/>
          </w:tcPr>
          <w:p w14:paraId="4007F64D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0.00%</w:t>
            </w:r>
          </w:p>
        </w:tc>
        <w:tc>
          <w:tcPr>
            <w:tcW w:w="765" w:type="dxa"/>
          </w:tcPr>
          <w:p w14:paraId="0C80D107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🟠</w:t>
            </w:r>
          </w:p>
        </w:tc>
      </w:tr>
      <w:tr w:rsidR="00143E48" w:rsidRPr="00AC7C38" w14:paraId="16AE81D2" w14:textId="77777777" w:rsidTr="00073F67">
        <w:tc>
          <w:tcPr>
            <w:tcW w:w="1021" w:type="dxa"/>
          </w:tcPr>
          <w:p w14:paraId="520940FD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Tregues</w:t>
            </w:r>
          </w:p>
        </w:tc>
        <w:tc>
          <w:tcPr>
            <w:tcW w:w="3573" w:type="dxa"/>
          </w:tcPr>
          <w:p w14:paraId="480F1DD3" w14:textId="77777777" w:rsidR="00143E48" w:rsidRPr="00AC7C38" w:rsidRDefault="00143E48" w:rsidP="00073F67">
            <w:pPr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Mbetjet e gjeneruara si kg/banor</w:t>
            </w:r>
          </w:p>
        </w:tc>
        <w:tc>
          <w:tcPr>
            <w:tcW w:w="1021" w:type="dxa"/>
          </w:tcPr>
          <w:p w14:paraId="06F8016C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kg/banor</w:t>
            </w:r>
          </w:p>
        </w:tc>
        <w:tc>
          <w:tcPr>
            <w:tcW w:w="765" w:type="dxa"/>
          </w:tcPr>
          <w:p w14:paraId="735B3092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78.05</w:t>
            </w:r>
          </w:p>
        </w:tc>
        <w:tc>
          <w:tcPr>
            <w:tcW w:w="765" w:type="dxa"/>
          </w:tcPr>
          <w:p w14:paraId="0C6354EB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144.16</w:t>
            </w:r>
          </w:p>
        </w:tc>
        <w:tc>
          <w:tcPr>
            <w:tcW w:w="765" w:type="dxa"/>
          </w:tcPr>
          <w:p w14:paraId="59BD62DB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66.10</w:t>
            </w:r>
          </w:p>
        </w:tc>
        <w:tc>
          <w:tcPr>
            <w:tcW w:w="765" w:type="dxa"/>
          </w:tcPr>
          <w:p w14:paraId="51866132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↑</w:t>
            </w:r>
          </w:p>
        </w:tc>
        <w:tc>
          <w:tcPr>
            <w:tcW w:w="765" w:type="dxa"/>
          </w:tcPr>
          <w:p w14:paraId="2B4B9BC0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84.69%</w:t>
            </w:r>
          </w:p>
        </w:tc>
        <w:tc>
          <w:tcPr>
            <w:tcW w:w="765" w:type="dxa"/>
          </w:tcPr>
          <w:p w14:paraId="0EA2CD66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🟢</w:t>
            </w:r>
          </w:p>
        </w:tc>
      </w:tr>
      <w:tr w:rsidR="00143E48" w:rsidRPr="00AC7C38" w14:paraId="1813496D" w14:textId="77777777" w:rsidTr="00073F67">
        <w:tc>
          <w:tcPr>
            <w:tcW w:w="1021" w:type="dxa"/>
          </w:tcPr>
          <w:p w14:paraId="3FB71EDE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Tregues</w:t>
            </w:r>
          </w:p>
        </w:tc>
        <w:tc>
          <w:tcPr>
            <w:tcW w:w="3573" w:type="dxa"/>
          </w:tcPr>
          <w:p w14:paraId="6F2812B9" w14:textId="77777777" w:rsidR="00143E48" w:rsidRPr="00AC7C38" w:rsidRDefault="00143E48" w:rsidP="00073F67">
            <w:pPr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Mbulimi kostos së menaxhimit të mbetjeve nga tarifa e  shërbimit</w:t>
            </w:r>
          </w:p>
        </w:tc>
        <w:tc>
          <w:tcPr>
            <w:tcW w:w="1021" w:type="dxa"/>
          </w:tcPr>
          <w:p w14:paraId="6F632882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%</w:t>
            </w:r>
          </w:p>
        </w:tc>
        <w:tc>
          <w:tcPr>
            <w:tcW w:w="765" w:type="dxa"/>
          </w:tcPr>
          <w:p w14:paraId="4A15F33E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45.90</w:t>
            </w:r>
          </w:p>
        </w:tc>
        <w:tc>
          <w:tcPr>
            <w:tcW w:w="765" w:type="dxa"/>
          </w:tcPr>
          <w:p w14:paraId="472180A4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57.11</w:t>
            </w:r>
          </w:p>
        </w:tc>
        <w:tc>
          <w:tcPr>
            <w:tcW w:w="765" w:type="dxa"/>
          </w:tcPr>
          <w:p w14:paraId="6B50FBBA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11.21</w:t>
            </w:r>
          </w:p>
        </w:tc>
        <w:tc>
          <w:tcPr>
            <w:tcW w:w="765" w:type="dxa"/>
          </w:tcPr>
          <w:p w14:paraId="1CD5FAD8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↑</w:t>
            </w:r>
          </w:p>
        </w:tc>
        <w:tc>
          <w:tcPr>
            <w:tcW w:w="765" w:type="dxa"/>
          </w:tcPr>
          <w:p w14:paraId="5804F613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24.41%</w:t>
            </w:r>
          </w:p>
        </w:tc>
        <w:tc>
          <w:tcPr>
            <w:tcW w:w="765" w:type="dxa"/>
          </w:tcPr>
          <w:p w14:paraId="51612D4A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🟢</w:t>
            </w:r>
          </w:p>
        </w:tc>
      </w:tr>
      <w:tr w:rsidR="00143E48" w:rsidRPr="00AC7C38" w14:paraId="7391BED7" w14:textId="77777777" w:rsidTr="00073F67">
        <w:tc>
          <w:tcPr>
            <w:tcW w:w="1021" w:type="dxa"/>
          </w:tcPr>
          <w:p w14:paraId="36F49066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lastRenderedPageBreak/>
              <w:t>Tregues</w:t>
            </w:r>
          </w:p>
        </w:tc>
        <w:tc>
          <w:tcPr>
            <w:tcW w:w="3573" w:type="dxa"/>
          </w:tcPr>
          <w:p w14:paraId="5F545C90" w14:textId="77777777" w:rsidR="00143E48" w:rsidRPr="00AC7C38" w:rsidRDefault="00143E48" w:rsidP="00073F67">
            <w:pPr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Plani vendor I menaxhimit të mbetjeve I miratuar ose në zbatim</w:t>
            </w:r>
          </w:p>
        </w:tc>
        <w:tc>
          <w:tcPr>
            <w:tcW w:w="1021" w:type="dxa"/>
          </w:tcPr>
          <w:p w14:paraId="426FF367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  <w:tc>
          <w:tcPr>
            <w:tcW w:w="765" w:type="dxa"/>
          </w:tcPr>
          <w:p w14:paraId="5BD99041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1.00</w:t>
            </w:r>
          </w:p>
        </w:tc>
        <w:tc>
          <w:tcPr>
            <w:tcW w:w="765" w:type="dxa"/>
          </w:tcPr>
          <w:p w14:paraId="448005A6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1.00</w:t>
            </w:r>
          </w:p>
        </w:tc>
        <w:tc>
          <w:tcPr>
            <w:tcW w:w="765" w:type="dxa"/>
          </w:tcPr>
          <w:p w14:paraId="7E658AB1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</w:t>
            </w:r>
          </w:p>
        </w:tc>
        <w:tc>
          <w:tcPr>
            <w:tcW w:w="765" w:type="dxa"/>
          </w:tcPr>
          <w:p w14:paraId="18869CE4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→</w:t>
            </w:r>
          </w:p>
        </w:tc>
        <w:tc>
          <w:tcPr>
            <w:tcW w:w="765" w:type="dxa"/>
          </w:tcPr>
          <w:p w14:paraId="7F3DA294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0.00%</w:t>
            </w:r>
          </w:p>
        </w:tc>
        <w:tc>
          <w:tcPr>
            <w:tcW w:w="765" w:type="dxa"/>
          </w:tcPr>
          <w:p w14:paraId="7A92FA1A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🟠</w:t>
            </w:r>
          </w:p>
        </w:tc>
      </w:tr>
      <w:tr w:rsidR="00143E48" w:rsidRPr="00AC7C38" w14:paraId="3C36BB28" w14:textId="77777777" w:rsidTr="00073F67">
        <w:tc>
          <w:tcPr>
            <w:tcW w:w="1021" w:type="dxa"/>
          </w:tcPr>
          <w:p w14:paraId="395320A3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Nëntregues</w:t>
            </w:r>
          </w:p>
        </w:tc>
        <w:tc>
          <w:tcPr>
            <w:tcW w:w="3573" w:type="dxa"/>
          </w:tcPr>
          <w:p w14:paraId="4517E1A9" w14:textId="77777777" w:rsidR="00143E48" w:rsidRPr="00AC7C38" w:rsidRDefault="00143E48" w:rsidP="00073F67">
            <w:pPr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Mbulimi i popullsisë me shërbimin e menaxhimit të mbetjeve në zonat urbane</w:t>
            </w:r>
          </w:p>
        </w:tc>
        <w:tc>
          <w:tcPr>
            <w:tcW w:w="1021" w:type="dxa"/>
          </w:tcPr>
          <w:p w14:paraId="4038DF12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%</w:t>
            </w:r>
          </w:p>
        </w:tc>
        <w:tc>
          <w:tcPr>
            <w:tcW w:w="765" w:type="dxa"/>
          </w:tcPr>
          <w:p w14:paraId="60D284BD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100.00</w:t>
            </w:r>
          </w:p>
        </w:tc>
        <w:tc>
          <w:tcPr>
            <w:tcW w:w="765" w:type="dxa"/>
          </w:tcPr>
          <w:p w14:paraId="073B2047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100.00</w:t>
            </w:r>
          </w:p>
        </w:tc>
        <w:tc>
          <w:tcPr>
            <w:tcW w:w="765" w:type="dxa"/>
          </w:tcPr>
          <w:p w14:paraId="02520090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</w:t>
            </w:r>
          </w:p>
        </w:tc>
        <w:tc>
          <w:tcPr>
            <w:tcW w:w="765" w:type="dxa"/>
          </w:tcPr>
          <w:p w14:paraId="1EEC53B4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→</w:t>
            </w:r>
          </w:p>
        </w:tc>
        <w:tc>
          <w:tcPr>
            <w:tcW w:w="765" w:type="dxa"/>
          </w:tcPr>
          <w:p w14:paraId="6B53ED7E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0.00%</w:t>
            </w:r>
          </w:p>
        </w:tc>
        <w:tc>
          <w:tcPr>
            <w:tcW w:w="765" w:type="dxa"/>
          </w:tcPr>
          <w:p w14:paraId="0DCAE819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🟠</w:t>
            </w:r>
          </w:p>
        </w:tc>
      </w:tr>
      <w:tr w:rsidR="00143E48" w:rsidRPr="00AC7C38" w14:paraId="39AE548A" w14:textId="77777777" w:rsidTr="00073F67">
        <w:tc>
          <w:tcPr>
            <w:tcW w:w="1021" w:type="dxa"/>
          </w:tcPr>
          <w:p w14:paraId="1AB6D097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Nëntregues</w:t>
            </w:r>
          </w:p>
        </w:tc>
        <w:tc>
          <w:tcPr>
            <w:tcW w:w="3573" w:type="dxa"/>
          </w:tcPr>
          <w:p w14:paraId="726CE946" w14:textId="77777777" w:rsidR="00143E48" w:rsidRPr="00AC7C38" w:rsidRDefault="00143E48" w:rsidP="00073F67">
            <w:pPr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Mbulimi i popullsisë me shërbimin e menaxhimit të mbetjeve në zonat rurale</w:t>
            </w:r>
          </w:p>
        </w:tc>
        <w:tc>
          <w:tcPr>
            <w:tcW w:w="1021" w:type="dxa"/>
          </w:tcPr>
          <w:p w14:paraId="573E1A04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%</w:t>
            </w:r>
          </w:p>
        </w:tc>
        <w:tc>
          <w:tcPr>
            <w:tcW w:w="765" w:type="dxa"/>
          </w:tcPr>
          <w:p w14:paraId="0478E166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60.00</w:t>
            </w:r>
          </w:p>
        </w:tc>
        <w:tc>
          <w:tcPr>
            <w:tcW w:w="765" w:type="dxa"/>
          </w:tcPr>
          <w:p w14:paraId="2C6BC6A5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60.00</w:t>
            </w:r>
          </w:p>
        </w:tc>
        <w:tc>
          <w:tcPr>
            <w:tcW w:w="765" w:type="dxa"/>
          </w:tcPr>
          <w:p w14:paraId="3DB07172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</w:t>
            </w:r>
          </w:p>
        </w:tc>
        <w:tc>
          <w:tcPr>
            <w:tcW w:w="765" w:type="dxa"/>
          </w:tcPr>
          <w:p w14:paraId="34FD0386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→</w:t>
            </w:r>
          </w:p>
        </w:tc>
        <w:tc>
          <w:tcPr>
            <w:tcW w:w="765" w:type="dxa"/>
          </w:tcPr>
          <w:p w14:paraId="697CEEBD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0.00%</w:t>
            </w:r>
          </w:p>
        </w:tc>
        <w:tc>
          <w:tcPr>
            <w:tcW w:w="765" w:type="dxa"/>
          </w:tcPr>
          <w:p w14:paraId="78DFB84D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Segoe UI Emoji" w:hAnsi="Segoe UI Emoji" w:cs="Segoe UI Emoji"/>
                <w:sz w:val="22"/>
              </w:rPr>
              <w:t>🟠</w:t>
            </w:r>
          </w:p>
        </w:tc>
      </w:tr>
    </w:tbl>
    <w:p w14:paraId="6FEE01A1" w14:textId="77777777" w:rsidR="00143E48" w:rsidRPr="00AC7C38" w:rsidRDefault="00143E48" w:rsidP="00143E48">
      <w:pPr>
        <w:jc w:val="both"/>
        <w:rPr>
          <w:rFonts w:ascii="Calibri" w:hAnsi="Calibri" w:cs="Calibri"/>
        </w:rPr>
      </w:pPr>
    </w:p>
    <w:p w14:paraId="18C172FB" w14:textId="77777777" w:rsidR="00143E48" w:rsidRPr="00AC7C38" w:rsidRDefault="00143E48" w:rsidP="00143E48">
      <w:pPr>
        <w:jc w:val="both"/>
        <w:rPr>
          <w:rFonts w:ascii="Bahnschrift" w:hAnsi="Bahnschrift" w:cs="Calibri"/>
          <w:b/>
          <w:bCs/>
          <w:sz w:val="24"/>
          <w:szCs w:val="22"/>
        </w:rPr>
      </w:pPr>
      <w:r w:rsidRPr="00AC7C38">
        <w:rPr>
          <w:rFonts w:ascii="Bahnschrift" w:hAnsi="Bahnschrift" w:cs="Calibri"/>
          <w:b/>
          <w:bCs/>
          <w:sz w:val="22"/>
          <w:szCs w:val="22"/>
        </w:rPr>
        <w:t xml:space="preserve">Të dhënat burim                     </w:t>
      </w:r>
    </w:p>
    <w:tbl>
      <w:tblPr>
        <w:tblW w:w="328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05"/>
        <w:gridCol w:w="1057"/>
        <w:gridCol w:w="1057"/>
        <w:gridCol w:w="1164"/>
        <w:gridCol w:w="1293"/>
      </w:tblGrid>
      <w:tr w:rsidR="00143E48" w:rsidRPr="00AC7C38" w14:paraId="33CD941E" w14:textId="77777777" w:rsidTr="00143E48">
        <w:tc>
          <w:tcPr>
            <w:tcW w:w="1238" w:type="pct"/>
            <w:shd w:val="clear" w:color="auto" w:fill="0070C0"/>
          </w:tcPr>
          <w:p w14:paraId="22A5D570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color w:val="FFFFFF"/>
                <w:sz w:val="22"/>
              </w:rPr>
              <w:t>E dhëna</w:t>
            </w:r>
          </w:p>
        </w:tc>
        <w:tc>
          <w:tcPr>
            <w:tcW w:w="870" w:type="pct"/>
            <w:shd w:val="clear" w:color="auto" w:fill="0070C0"/>
          </w:tcPr>
          <w:p w14:paraId="4EF9EE3F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color w:val="FFFFFF"/>
                <w:sz w:val="22"/>
              </w:rPr>
              <w:t>Vlera 2023</w:t>
            </w:r>
          </w:p>
        </w:tc>
        <w:tc>
          <w:tcPr>
            <w:tcW w:w="870" w:type="pct"/>
            <w:shd w:val="clear" w:color="auto" w:fill="0070C0"/>
          </w:tcPr>
          <w:p w14:paraId="6535C871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color w:val="FFFFFF"/>
                <w:sz w:val="22"/>
              </w:rPr>
              <w:t>Vlera 2024</w:t>
            </w:r>
          </w:p>
        </w:tc>
        <w:tc>
          <w:tcPr>
            <w:tcW w:w="958" w:type="pct"/>
            <w:shd w:val="clear" w:color="auto" w:fill="0070C0"/>
          </w:tcPr>
          <w:p w14:paraId="5B5783EC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color w:val="FFFFFF"/>
                <w:sz w:val="22"/>
              </w:rPr>
              <w:t>Vlera 2025</w:t>
            </w:r>
          </w:p>
        </w:tc>
        <w:tc>
          <w:tcPr>
            <w:tcW w:w="1064" w:type="pct"/>
            <w:shd w:val="clear" w:color="auto" w:fill="0070C0"/>
          </w:tcPr>
          <w:p w14:paraId="476CCBA7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color w:val="FFFFFF"/>
                <w:sz w:val="22"/>
              </w:rPr>
            </w:pPr>
            <w:r w:rsidRPr="00AC7C38">
              <w:rPr>
                <w:rFonts w:ascii="Calibri" w:hAnsi="Calibri" w:cs="Calibri"/>
                <w:color w:val="FFFFFF"/>
                <w:sz w:val="22"/>
              </w:rPr>
              <w:t>Njësia Matëse</w:t>
            </w:r>
          </w:p>
        </w:tc>
      </w:tr>
      <w:tr w:rsidR="00143E48" w:rsidRPr="00AC7C38" w14:paraId="2EE3BF0C" w14:textId="77777777" w:rsidTr="00143E48">
        <w:tc>
          <w:tcPr>
            <w:tcW w:w="1238" w:type="pct"/>
          </w:tcPr>
          <w:p w14:paraId="1823D59E" w14:textId="77777777" w:rsidR="00143E48" w:rsidRPr="00AC7C38" w:rsidRDefault="00143E48" w:rsidP="00073F67">
            <w:pPr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njësive administrative qendër (qytete) të mbuluar me shërbimin e mbetjeve</w:t>
            </w:r>
          </w:p>
        </w:tc>
        <w:tc>
          <w:tcPr>
            <w:tcW w:w="870" w:type="pct"/>
          </w:tcPr>
          <w:p w14:paraId="31C6C878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870" w:type="pct"/>
          </w:tcPr>
          <w:p w14:paraId="320574AB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958" w:type="pct"/>
          </w:tcPr>
          <w:p w14:paraId="16598C21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1064" w:type="pct"/>
          </w:tcPr>
          <w:p w14:paraId="046196D3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143E48" w:rsidRPr="00AC7C38" w14:paraId="456C308D" w14:textId="77777777" w:rsidTr="00143E48">
        <w:tc>
          <w:tcPr>
            <w:tcW w:w="1238" w:type="pct"/>
          </w:tcPr>
          <w:p w14:paraId="56719061" w14:textId="77777777" w:rsidR="00143E48" w:rsidRPr="00AC7C38" w:rsidRDefault="00143E48" w:rsidP="00073F67">
            <w:pPr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njësive administrative qendër (qytete) të bashkisë</w:t>
            </w:r>
          </w:p>
        </w:tc>
        <w:tc>
          <w:tcPr>
            <w:tcW w:w="870" w:type="pct"/>
          </w:tcPr>
          <w:p w14:paraId="5DBCB2C7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870" w:type="pct"/>
          </w:tcPr>
          <w:p w14:paraId="2B235875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958" w:type="pct"/>
          </w:tcPr>
          <w:p w14:paraId="06054405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1064" w:type="pct"/>
          </w:tcPr>
          <w:p w14:paraId="130F1A2F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143E48" w:rsidRPr="00AC7C38" w14:paraId="3594C186" w14:textId="77777777" w:rsidTr="00143E48">
        <w:tc>
          <w:tcPr>
            <w:tcW w:w="1238" w:type="pct"/>
          </w:tcPr>
          <w:p w14:paraId="6550ACCF" w14:textId="77777777" w:rsidR="00143E48" w:rsidRPr="00AC7C38" w:rsidRDefault="00143E48" w:rsidP="00073F67">
            <w:pPr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fshtrave të mbuluar me shërbimin e mbetjeve</w:t>
            </w:r>
          </w:p>
        </w:tc>
        <w:tc>
          <w:tcPr>
            <w:tcW w:w="870" w:type="pct"/>
          </w:tcPr>
          <w:p w14:paraId="6302738A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870" w:type="pct"/>
          </w:tcPr>
          <w:p w14:paraId="70175603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958" w:type="pct"/>
          </w:tcPr>
          <w:p w14:paraId="4A4BABF9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1064" w:type="pct"/>
          </w:tcPr>
          <w:p w14:paraId="54114519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143E48" w:rsidRPr="00AC7C38" w14:paraId="0634E68A" w14:textId="77777777" w:rsidTr="00143E48">
        <w:tc>
          <w:tcPr>
            <w:tcW w:w="1238" w:type="pct"/>
          </w:tcPr>
          <w:p w14:paraId="2A79FD9B" w14:textId="77777777" w:rsidR="00143E48" w:rsidRPr="00AC7C38" w:rsidRDefault="00143E48" w:rsidP="00073F67">
            <w:pPr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Numri fshatrave në territorin e bashkise</w:t>
            </w:r>
          </w:p>
        </w:tc>
        <w:tc>
          <w:tcPr>
            <w:tcW w:w="870" w:type="pct"/>
          </w:tcPr>
          <w:p w14:paraId="2502E805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870" w:type="pct"/>
          </w:tcPr>
          <w:p w14:paraId="7B8BD0F1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958" w:type="pct"/>
          </w:tcPr>
          <w:p w14:paraId="3DDBB88B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1064" w:type="pct"/>
          </w:tcPr>
          <w:p w14:paraId="3143843D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  <w:tr w:rsidR="00143E48" w:rsidRPr="00AC7C38" w14:paraId="65B18CD8" w14:textId="77777777" w:rsidTr="00143E48">
        <w:tc>
          <w:tcPr>
            <w:tcW w:w="1238" w:type="pct"/>
          </w:tcPr>
          <w:p w14:paraId="48CB2951" w14:textId="77777777" w:rsidR="00143E48" w:rsidRPr="00AC7C38" w:rsidRDefault="00143E48" w:rsidP="00073F67">
            <w:pPr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 xml:space="preserve">Sasia e mbetjeve të gjeneruara </w:t>
            </w:r>
            <w:r w:rsidRPr="00AC7C38">
              <w:rPr>
                <w:rFonts w:ascii="Calibri" w:hAnsi="Calibri" w:cs="Calibri"/>
                <w:sz w:val="22"/>
              </w:rPr>
              <w:lastRenderedPageBreak/>
              <w:t xml:space="preserve">gjithsej </w:t>
            </w:r>
          </w:p>
        </w:tc>
        <w:tc>
          <w:tcPr>
            <w:tcW w:w="870" w:type="pct"/>
          </w:tcPr>
          <w:p w14:paraId="34FCE231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lastRenderedPageBreak/>
              <w:t>2369000</w:t>
            </w:r>
          </w:p>
        </w:tc>
        <w:tc>
          <w:tcPr>
            <w:tcW w:w="870" w:type="pct"/>
          </w:tcPr>
          <w:p w14:paraId="647E3C81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1464900</w:t>
            </w:r>
          </w:p>
        </w:tc>
        <w:tc>
          <w:tcPr>
            <w:tcW w:w="958" w:type="pct"/>
          </w:tcPr>
          <w:p w14:paraId="59E3FE5F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2705540</w:t>
            </w:r>
          </w:p>
        </w:tc>
        <w:tc>
          <w:tcPr>
            <w:tcW w:w="1064" w:type="pct"/>
          </w:tcPr>
          <w:p w14:paraId="1AA276BA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Kg</w:t>
            </w:r>
          </w:p>
        </w:tc>
      </w:tr>
      <w:tr w:rsidR="00143E48" w:rsidRPr="00AC7C38" w14:paraId="0982BA99" w14:textId="77777777" w:rsidTr="00143E48">
        <w:tc>
          <w:tcPr>
            <w:tcW w:w="1238" w:type="pct"/>
          </w:tcPr>
          <w:p w14:paraId="6D458B64" w14:textId="77777777" w:rsidR="00143E48" w:rsidRPr="00AC7C38" w:rsidRDefault="00143E48" w:rsidP="00073F67">
            <w:pPr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Të ardhurat gjithsej nga tarifa e shërbimit të mbetjeve</w:t>
            </w:r>
          </w:p>
        </w:tc>
        <w:tc>
          <w:tcPr>
            <w:tcW w:w="870" w:type="pct"/>
          </w:tcPr>
          <w:p w14:paraId="2001638E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10139</w:t>
            </w:r>
          </w:p>
        </w:tc>
        <w:tc>
          <w:tcPr>
            <w:tcW w:w="870" w:type="pct"/>
          </w:tcPr>
          <w:p w14:paraId="70550B89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13395.16</w:t>
            </w:r>
          </w:p>
        </w:tc>
        <w:tc>
          <w:tcPr>
            <w:tcW w:w="958" w:type="pct"/>
          </w:tcPr>
          <w:p w14:paraId="09A87584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12613.8</w:t>
            </w:r>
          </w:p>
        </w:tc>
        <w:tc>
          <w:tcPr>
            <w:tcW w:w="1064" w:type="pct"/>
          </w:tcPr>
          <w:p w14:paraId="1EB10E6A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mijë Lekë</w:t>
            </w:r>
          </w:p>
        </w:tc>
      </w:tr>
      <w:tr w:rsidR="00143E48" w:rsidRPr="00AC7C38" w14:paraId="292CF5B6" w14:textId="77777777" w:rsidTr="00143E48">
        <w:tc>
          <w:tcPr>
            <w:tcW w:w="1238" w:type="pct"/>
          </w:tcPr>
          <w:p w14:paraId="21392864" w14:textId="77777777" w:rsidR="00143E48" w:rsidRPr="00AC7C38" w:rsidRDefault="00143E48" w:rsidP="00073F67">
            <w:pPr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Shpenzime gjithsej për ofrimin e shërbimit të menaxhimit të mbetjeve</w:t>
            </w:r>
          </w:p>
        </w:tc>
        <w:tc>
          <w:tcPr>
            <w:tcW w:w="870" w:type="pct"/>
          </w:tcPr>
          <w:p w14:paraId="28CF4B10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28804</w:t>
            </w:r>
          </w:p>
        </w:tc>
        <w:tc>
          <w:tcPr>
            <w:tcW w:w="870" w:type="pct"/>
          </w:tcPr>
          <w:p w14:paraId="337F6A46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29182.05</w:t>
            </w:r>
          </w:p>
        </w:tc>
        <w:tc>
          <w:tcPr>
            <w:tcW w:w="958" w:type="pct"/>
          </w:tcPr>
          <w:p w14:paraId="3A1CC184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22087.625</w:t>
            </w:r>
          </w:p>
        </w:tc>
        <w:tc>
          <w:tcPr>
            <w:tcW w:w="1064" w:type="pct"/>
          </w:tcPr>
          <w:p w14:paraId="7C38C6BB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mijë Lekë</w:t>
            </w:r>
          </w:p>
        </w:tc>
      </w:tr>
      <w:tr w:rsidR="00143E48" w:rsidRPr="00AC7C38" w14:paraId="4DCF17C0" w14:textId="77777777" w:rsidTr="00143E48">
        <w:tc>
          <w:tcPr>
            <w:tcW w:w="1238" w:type="pct"/>
          </w:tcPr>
          <w:p w14:paraId="3D535F05" w14:textId="77777777" w:rsidR="00143E48" w:rsidRPr="00AC7C38" w:rsidRDefault="00143E48" w:rsidP="00073F67">
            <w:pPr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Plani i miratuar ose zbatuar gjatë vitit të raportimit</w:t>
            </w:r>
          </w:p>
        </w:tc>
        <w:tc>
          <w:tcPr>
            <w:tcW w:w="870" w:type="pct"/>
          </w:tcPr>
          <w:p w14:paraId="42712A71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870" w:type="pct"/>
          </w:tcPr>
          <w:p w14:paraId="0A7612E9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958" w:type="pct"/>
          </w:tcPr>
          <w:p w14:paraId="6EC030A9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1064" w:type="pct"/>
          </w:tcPr>
          <w:p w14:paraId="5E17B030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Cilësore (Po=1/Jo=0)</w:t>
            </w:r>
          </w:p>
        </w:tc>
      </w:tr>
      <w:tr w:rsidR="00143E48" w:rsidRPr="00AC7C38" w14:paraId="628A5367" w14:textId="77777777" w:rsidTr="00143E48">
        <w:tc>
          <w:tcPr>
            <w:tcW w:w="1238" w:type="pct"/>
          </w:tcPr>
          <w:p w14:paraId="7888B4E1" w14:textId="77777777" w:rsidR="00143E48" w:rsidRPr="00AC7C38" w:rsidRDefault="00143E48" w:rsidP="00073F67">
            <w:pPr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Popullsia e përgjithshme e bashkisë</w:t>
            </w:r>
          </w:p>
        </w:tc>
        <w:tc>
          <w:tcPr>
            <w:tcW w:w="870" w:type="pct"/>
          </w:tcPr>
          <w:p w14:paraId="2F900A2F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18768</w:t>
            </w:r>
          </w:p>
        </w:tc>
        <w:tc>
          <w:tcPr>
            <w:tcW w:w="870" w:type="pct"/>
          </w:tcPr>
          <w:p w14:paraId="43E37D06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18768</w:t>
            </w:r>
          </w:p>
        </w:tc>
        <w:tc>
          <w:tcPr>
            <w:tcW w:w="958" w:type="pct"/>
          </w:tcPr>
          <w:p w14:paraId="094021C1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18768</w:t>
            </w:r>
          </w:p>
        </w:tc>
        <w:tc>
          <w:tcPr>
            <w:tcW w:w="1064" w:type="pct"/>
          </w:tcPr>
          <w:p w14:paraId="7C5BA308" w14:textId="77777777" w:rsidR="00143E48" w:rsidRPr="00AC7C38" w:rsidRDefault="00143E48" w:rsidP="00073F67">
            <w:pPr>
              <w:jc w:val="both"/>
              <w:rPr>
                <w:rFonts w:ascii="Calibri" w:hAnsi="Calibri" w:cs="Calibri"/>
                <w:sz w:val="22"/>
              </w:rPr>
            </w:pPr>
            <w:r w:rsidRPr="00AC7C38">
              <w:rPr>
                <w:rFonts w:ascii="Calibri" w:hAnsi="Calibri" w:cs="Calibri"/>
                <w:sz w:val="22"/>
              </w:rPr>
              <w:t>Numër</w:t>
            </w:r>
          </w:p>
        </w:tc>
      </w:tr>
    </w:tbl>
    <w:p w14:paraId="6FAE8D07" w14:textId="77777777" w:rsidR="00143E48" w:rsidRDefault="00143E48" w:rsidP="00143E48">
      <w:pPr>
        <w:jc w:val="both"/>
        <w:rPr>
          <w:rFonts w:ascii="Calibri" w:hAnsi="Calibri" w:cs="Calibri"/>
          <w:sz w:val="22"/>
        </w:rPr>
      </w:pPr>
    </w:p>
    <w:p w14:paraId="438840DC" w14:textId="77777777" w:rsidR="00143E48" w:rsidRPr="00AC7C38" w:rsidRDefault="00143E48" w:rsidP="00143E48">
      <w:pPr>
        <w:jc w:val="both"/>
        <w:rPr>
          <w:rFonts w:ascii="Calibri" w:hAnsi="Calibri" w:cs="Calibri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3255"/>
        <w:gridCol w:w="2822"/>
      </w:tblGrid>
      <w:tr w:rsidR="00143E48" w:rsidRPr="00AC7C38" w14:paraId="65BD88BD" w14:textId="77777777" w:rsidTr="00073F67">
        <w:tc>
          <w:tcPr>
            <w:tcW w:w="3168" w:type="dxa"/>
            <w:hideMark/>
          </w:tcPr>
          <w:p w14:paraId="5D2D0A7E" w14:textId="77777777" w:rsidR="00143E48" w:rsidRPr="00AC7C38" w:rsidRDefault="00143E48" w:rsidP="00073F67">
            <w:pPr>
              <w:spacing w:after="0" w:line="240" w:lineRule="auto"/>
              <w:jc w:val="both"/>
              <w:rPr>
                <w:rFonts w:ascii="Bahnschrift" w:eastAsia="Times New Roman" w:hAnsi="Bahnschrift" w:cs="Times New Roman"/>
                <w:b/>
                <w:bCs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b/>
                <w:bCs/>
                <w:sz w:val="22"/>
                <w:szCs w:val="22"/>
              </w:rPr>
              <w:t>Sfida</w:t>
            </w:r>
          </w:p>
        </w:tc>
        <w:tc>
          <w:tcPr>
            <w:tcW w:w="3255" w:type="dxa"/>
            <w:hideMark/>
          </w:tcPr>
          <w:p w14:paraId="23F8640F" w14:textId="77777777" w:rsidR="00143E48" w:rsidRPr="00AC7C38" w:rsidRDefault="00143E48" w:rsidP="00073F67">
            <w:pPr>
              <w:spacing w:after="0" w:line="240" w:lineRule="auto"/>
              <w:jc w:val="both"/>
              <w:rPr>
                <w:rFonts w:ascii="Bahnschrift" w:eastAsia="Times New Roman" w:hAnsi="Bahnschrift" w:cs="Times New Roman"/>
                <w:b/>
                <w:bCs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b/>
                <w:bCs/>
                <w:sz w:val="22"/>
                <w:szCs w:val="22"/>
              </w:rPr>
              <w:t>Arritje</w:t>
            </w:r>
          </w:p>
        </w:tc>
        <w:tc>
          <w:tcPr>
            <w:tcW w:w="0" w:type="auto"/>
            <w:hideMark/>
          </w:tcPr>
          <w:p w14:paraId="0B235697" w14:textId="77777777" w:rsidR="00143E48" w:rsidRPr="00AC7C38" w:rsidRDefault="00143E48" w:rsidP="00073F67">
            <w:pPr>
              <w:spacing w:after="0" w:line="240" w:lineRule="auto"/>
              <w:jc w:val="both"/>
              <w:rPr>
                <w:rFonts w:ascii="Bahnschrift" w:eastAsia="Times New Roman" w:hAnsi="Bahnschrift" w:cs="Times New Roman"/>
                <w:b/>
                <w:bCs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b/>
                <w:bCs/>
                <w:sz w:val="22"/>
                <w:szCs w:val="22"/>
              </w:rPr>
              <w:t>Objektiva</w:t>
            </w:r>
          </w:p>
        </w:tc>
      </w:tr>
      <w:tr w:rsidR="00143E48" w:rsidRPr="00AC7C38" w14:paraId="0701F40C" w14:textId="77777777" w:rsidTr="00073F67">
        <w:tc>
          <w:tcPr>
            <w:tcW w:w="3168" w:type="dxa"/>
            <w:hideMark/>
          </w:tcPr>
          <w:p w14:paraId="3333A91B" w14:textId="77777777" w:rsidR="00143E48" w:rsidRPr="00AC7C38" w:rsidRDefault="00143E48" w:rsidP="00073F67">
            <w:pPr>
              <w:rPr>
                <w:rFonts w:ascii="Bahnschrift" w:eastAsia="Times New Roman" w:hAnsi="Bahnschrift" w:cs="Times New Roman"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sz w:val="22"/>
                <w:szCs w:val="22"/>
              </w:rPr>
              <w:t xml:space="preserve">• Mbulim ende jo i plotë i shërbimit në zonat rurale. </w:t>
            </w:r>
          </w:p>
          <w:p w14:paraId="5FEB409B" w14:textId="77777777" w:rsidR="00143E48" w:rsidRPr="00AC7C38" w:rsidRDefault="00143E48" w:rsidP="00073F67">
            <w:pPr>
              <w:rPr>
                <w:rFonts w:ascii="Bahnschrift" w:eastAsia="Times New Roman" w:hAnsi="Bahnschrift" w:cs="Times New Roman"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sz w:val="22"/>
                <w:szCs w:val="22"/>
              </w:rPr>
              <w:t xml:space="preserve">• Nevojë për rritje të ndërgjegjësimit qytetar për ndarjen e mbetjeve në burim dhe pagesën e tarifës. </w:t>
            </w:r>
          </w:p>
          <w:p w14:paraId="5F1A654E" w14:textId="77777777" w:rsidR="00143E48" w:rsidRPr="00AC7C38" w:rsidRDefault="00143E48" w:rsidP="00073F67">
            <w:pPr>
              <w:spacing w:after="0" w:line="240" w:lineRule="auto"/>
              <w:rPr>
                <w:rFonts w:ascii="Bahnschrift" w:eastAsia="Times New Roman" w:hAnsi="Bahnschrift" w:cs="Times New Roman"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sz w:val="22"/>
                <w:szCs w:val="22"/>
              </w:rPr>
              <w:t>• Nevojë për përmirësim të mëtejshëm të pajisjeve dhe logjistikës së shërbimit.</w:t>
            </w:r>
          </w:p>
        </w:tc>
        <w:tc>
          <w:tcPr>
            <w:tcW w:w="3255" w:type="dxa"/>
            <w:hideMark/>
          </w:tcPr>
          <w:p w14:paraId="12AD49DD" w14:textId="77777777" w:rsidR="00143E48" w:rsidRPr="00AC7C38" w:rsidRDefault="00143E48" w:rsidP="00073F67">
            <w:pPr>
              <w:rPr>
                <w:rFonts w:ascii="Bahnschrift" w:eastAsia="Times New Roman" w:hAnsi="Bahnschrift" w:cs="Times New Roman"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sz w:val="22"/>
                <w:szCs w:val="22"/>
              </w:rPr>
              <w:t xml:space="preserve">• Ruajtje e mbulimit 100% të shërbimit në zonat urbane. </w:t>
            </w:r>
          </w:p>
          <w:p w14:paraId="1CF765AD" w14:textId="77777777" w:rsidR="00143E48" w:rsidRPr="00AC7C38" w:rsidRDefault="00143E48" w:rsidP="00073F67">
            <w:pPr>
              <w:rPr>
                <w:rFonts w:ascii="Bahnschrift" w:eastAsia="Times New Roman" w:hAnsi="Bahnschrift" w:cs="Times New Roman"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sz w:val="22"/>
                <w:szCs w:val="22"/>
              </w:rPr>
              <w:t xml:space="preserve">• Stabilitet i mbulimit total të popullsisë me shërbim. </w:t>
            </w:r>
          </w:p>
          <w:p w14:paraId="5A044EC6" w14:textId="77777777" w:rsidR="00143E48" w:rsidRPr="00AC7C38" w:rsidRDefault="00143E48" w:rsidP="00073F67">
            <w:pPr>
              <w:rPr>
                <w:rFonts w:ascii="Bahnschrift" w:eastAsia="Times New Roman" w:hAnsi="Bahnschrift" w:cs="Times New Roman"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sz w:val="22"/>
                <w:szCs w:val="22"/>
              </w:rPr>
              <w:t xml:space="preserve">• Rritje e mbulimit të kostos nga tarifa e shërbimit (57.11%). </w:t>
            </w:r>
          </w:p>
          <w:p w14:paraId="724EF338" w14:textId="77777777" w:rsidR="00143E48" w:rsidRPr="00AC7C38" w:rsidRDefault="00143E48" w:rsidP="00073F67">
            <w:pPr>
              <w:spacing w:after="0" w:line="240" w:lineRule="auto"/>
              <w:rPr>
                <w:rFonts w:ascii="Bahnschrift" w:eastAsia="Times New Roman" w:hAnsi="Bahnschrift" w:cs="Times New Roman"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sz w:val="22"/>
                <w:szCs w:val="22"/>
              </w:rPr>
              <w:t>• Vijimësi e Planit Vendor të Menaxhimit të Mbetjeve.</w:t>
            </w:r>
          </w:p>
        </w:tc>
        <w:tc>
          <w:tcPr>
            <w:tcW w:w="0" w:type="auto"/>
            <w:hideMark/>
          </w:tcPr>
          <w:p w14:paraId="59D59DC2" w14:textId="77777777" w:rsidR="00143E48" w:rsidRPr="00AC7C38" w:rsidRDefault="00143E48" w:rsidP="00073F67">
            <w:pPr>
              <w:rPr>
                <w:rFonts w:ascii="Bahnschrift" w:eastAsia="Times New Roman" w:hAnsi="Bahnschrift" w:cs="Times New Roman"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sz w:val="22"/>
                <w:szCs w:val="22"/>
              </w:rPr>
              <w:t>• Zgjerimi gradual i shërbimit në fshatra dhe zonat e largëta.</w:t>
            </w:r>
          </w:p>
          <w:p w14:paraId="73120366" w14:textId="77777777" w:rsidR="00143E48" w:rsidRPr="00AC7C38" w:rsidRDefault="00143E48" w:rsidP="00073F67">
            <w:pPr>
              <w:rPr>
                <w:rFonts w:ascii="Bahnschrift" w:eastAsia="Times New Roman" w:hAnsi="Bahnschrift" w:cs="Times New Roman"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sz w:val="22"/>
                <w:szCs w:val="22"/>
              </w:rPr>
              <w:t>• Rritja e eficiencës në mbledhjen e tarifave dhe mbulimin e kostove.</w:t>
            </w:r>
          </w:p>
          <w:p w14:paraId="15195DCA" w14:textId="77777777" w:rsidR="00143E48" w:rsidRPr="00AC7C38" w:rsidRDefault="00143E48" w:rsidP="00073F67">
            <w:pPr>
              <w:rPr>
                <w:rFonts w:ascii="Bahnschrift" w:eastAsia="Times New Roman" w:hAnsi="Bahnschrift" w:cs="Times New Roman"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sz w:val="22"/>
                <w:szCs w:val="22"/>
              </w:rPr>
              <w:t>• Forcimi i riciklimit dhe ndarjes së mbetjeve në burim.</w:t>
            </w:r>
          </w:p>
          <w:p w14:paraId="092FBA12" w14:textId="77777777" w:rsidR="00143E48" w:rsidRPr="00AC7C38" w:rsidRDefault="00143E48" w:rsidP="00073F67">
            <w:pPr>
              <w:spacing w:after="0" w:line="240" w:lineRule="auto"/>
              <w:rPr>
                <w:rFonts w:ascii="Bahnschrift" w:eastAsia="Times New Roman" w:hAnsi="Bahnschrift" w:cs="Times New Roman"/>
                <w:sz w:val="22"/>
                <w:szCs w:val="22"/>
              </w:rPr>
            </w:pPr>
            <w:r w:rsidRPr="00AC7C38">
              <w:rPr>
                <w:rFonts w:ascii="Bahnschrift" w:eastAsia="Times New Roman" w:hAnsi="Bahnschrift" w:cs="Times New Roman"/>
                <w:sz w:val="22"/>
                <w:szCs w:val="22"/>
              </w:rPr>
              <w:t>• Përmirësimi i cilësisë dhe standardeve të shërbimit publik.</w:t>
            </w:r>
          </w:p>
        </w:tc>
      </w:tr>
    </w:tbl>
    <w:p w14:paraId="374CAD6F" w14:textId="77777777" w:rsidR="00AC16F3" w:rsidRDefault="00AC16F3"/>
    <w:sectPr w:rsidR="00AC16F3" w:rsidSect="00E53A6C">
      <w:pgSz w:w="11909" w:h="16834" w:code="9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6D4B"/>
    <w:rsid w:val="00143E48"/>
    <w:rsid w:val="001A41A1"/>
    <w:rsid w:val="00212937"/>
    <w:rsid w:val="003A5C24"/>
    <w:rsid w:val="004A0C3D"/>
    <w:rsid w:val="006F39D9"/>
    <w:rsid w:val="007112FB"/>
    <w:rsid w:val="008D33F9"/>
    <w:rsid w:val="00987AE9"/>
    <w:rsid w:val="00A66D4B"/>
    <w:rsid w:val="00AC16F3"/>
    <w:rsid w:val="00CC7CB6"/>
    <w:rsid w:val="00E53A6C"/>
    <w:rsid w:val="00F0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6D14F"/>
  <w15:chartTrackingRefBased/>
  <w15:docId w15:val="{44B8CC39-5BF3-4CB0-9EBA-D7EE16323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3E48"/>
    <w:pPr>
      <w:spacing w:before="100" w:after="200" w:line="276" w:lineRule="auto"/>
    </w:pPr>
    <w:rPr>
      <w:rFonts w:eastAsiaTheme="minorEastAsia"/>
      <w:kern w:val="0"/>
      <w:sz w:val="20"/>
      <w:szCs w:val="20"/>
      <w:lang w:val="sq-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66D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66D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6D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6D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6D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6D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6D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6D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6D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6D4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sq-AL"/>
    </w:rPr>
  </w:style>
  <w:style w:type="character" w:customStyle="1" w:styleId="Heading2Char">
    <w:name w:val="Heading 2 Char"/>
    <w:basedOn w:val="DefaultParagraphFont"/>
    <w:link w:val="Heading2"/>
    <w:uiPriority w:val="9"/>
    <w:rsid w:val="00A66D4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sq-AL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6D4B"/>
    <w:rPr>
      <w:rFonts w:eastAsiaTheme="majorEastAsia" w:cstheme="majorBidi"/>
      <w:color w:val="0F4761" w:themeColor="accent1" w:themeShade="BF"/>
      <w:sz w:val="28"/>
      <w:szCs w:val="28"/>
      <w:lang w:val="sq-AL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6D4B"/>
    <w:rPr>
      <w:rFonts w:eastAsiaTheme="majorEastAsia" w:cstheme="majorBidi"/>
      <w:i/>
      <w:iCs/>
      <w:color w:val="0F4761" w:themeColor="accent1" w:themeShade="BF"/>
      <w:lang w:val="sq-A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6D4B"/>
    <w:rPr>
      <w:rFonts w:eastAsiaTheme="majorEastAsia" w:cstheme="majorBidi"/>
      <w:color w:val="0F4761" w:themeColor="accent1" w:themeShade="BF"/>
      <w:lang w:val="sq-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6D4B"/>
    <w:rPr>
      <w:rFonts w:eastAsiaTheme="majorEastAsia" w:cstheme="majorBidi"/>
      <w:i/>
      <w:iCs/>
      <w:color w:val="595959" w:themeColor="text1" w:themeTint="A6"/>
      <w:lang w:val="sq-AL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6D4B"/>
    <w:rPr>
      <w:rFonts w:eastAsiaTheme="majorEastAsia" w:cstheme="majorBidi"/>
      <w:color w:val="595959" w:themeColor="text1" w:themeTint="A6"/>
      <w:lang w:val="sq-AL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6D4B"/>
    <w:rPr>
      <w:rFonts w:eastAsiaTheme="majorEastAsia" w:cstheme="majorBidi"/>
      <w:i/>
      <w:iCs/>
      <w:color w:val="272727" w:themeColor="text1" w:themeTint="D8"/>
      <w:lang w:val="sq-AL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6D4B"/>
    <w:rPr>
      <w:rFonts w:eastAsiaTheme="majorEastAsia" w:cstheme="majorBidi"/>
      <w:color w:val="272727" w:themeColor="text1" w:themeTint="D8"/>
      <w:lang w:val="sq-AL"/>
    </w:rPr>
  </w:style>
  <w:style w:type="paragraph" w:styleId="Title">
    <w:name w:val="Title"/>
    <w:basedOn w:val="Normal"/>
    <w:next w:val="Normal"/>
    <w:link w:val="TitleChar"/>
    <w:uiPriority w:val="10"/>
    <w:qFormat/>
    <w:rsid w:val="00A66D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6D4B"/>
    <w:rPr>
      <w:rFonts w:asciiTheme="majorHAnsi" w:eastAsiaTheme="majorEastAsia" w:hAnsiTheme="majorHAnsi" w:cstheme="majorBidi"/>
      <w:spacing w:val="-10"/>
      <w:kern w:val="28"/>
      <w:sz w:val="56"/>
      <w:szCs w:val="56"/>
      <w:lang w:val="sq-AL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6D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6D4B"/>
    <w:rPr>
      <w:rFonts w:eastAsiaTheme="majorEastAsia" w:cstheme="majorBidi"/>
      <w:color w:val="595959" w:themeColor="text1" w:themeTint="A6"/>
      <w:spacing w:val="15"/>
      <w:sz w:val="28"/>
      <w:szCs w:val="28"/>
      <w:lang w:val="sq-AL"/>
    </w:rPr>
  </w:style>
  <w:style w:type="paragraph" w:styleId="Quote">
    <w:name w:val="Quote"/>
    <w:basedOn w:val="Normal"/>
    <w:next w:val="Normal"/>
    <w:link w:val="QuoteChar"/>
    <w:uiPriority w:val="29"/>
    <w:qFormat/>
    <w:rsid w:val="00A66D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6D4B"/>
    <w:rPr>
      <w:i/>
      <w:iCs/>
      <w:color w:val="404040" w:themeColor="text1" w:themeTint="BF"/>
      <w:lang w:val="sq-AL"/>
    </w:rPr>
  </w:style>
  <w:style w:type="paragraph" w:styleId="ListParagraph">
    <w:name w:val="List Paragraph"/>
    <w:basedOn w:val="Normal"/>
    <w:uiPriority w:val="34"/>
    <w:qFormat/>
    <w:rsid w:val="00A66D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6D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6D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6D4B"/>
    <w:rPr>
      <w:i/>
      <w:iCs/>
      <w:color w:val="0F4761" w:themeColor="accent1" w:themeShade="BF"/>
      <w:lang w:val="sq-AL"/>
    </w:rPr>
  </w:style>
  <w:style w:type="character" w:styleId="IntenseReference">
    <w:name w:val="Intense Reference"/>
    <w:basedOn w:val="DefaultParagraphFont"/>
    <w:uiPriority w:val="32"/>
    <w:qFormat/>
    <w:rsid w:val="00A66D4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43E48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[Bashki_Mbetjet_PowerQuery_2026.xlsm]Viz!PivotTable1</c:name>
    <c:fmtId val="-1"/>
  </c:pivotSource>
  <c:chart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>
        <c:manualLayout>
          <c:layoutTarget val="inner"/>
          <c:xMode val="edge"/>
          <c:yMode val="edge"/>
          <c:x val="8.4330945829165754E-2"/>
          <c:y val="0.2572178477690289"/>
          <c:w val="0.5658021797467585"/>
          <c:h val="0.5059609215514727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Viz!$B$1</c:f>
              <c:strCache>
                <c:ptCount val="1"/>
                <c:pt idx="0">
                  <c:v>Vlera 2024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Viz!$A$2:$A$4</c:f>
              <c:strCache>
                <c:ptCount val="2"/>
                <c:pt idx="0">
                  <c:v>Mbulimi i popullsisë me shërbimin e menaxhimit të mbetjeve në zonat urbane/rurale</c:v>
                </c:pt>
                <c:pt idx="1">
                  <c:v>Mbulimi kostos së menaxhimit të mbetjeve nga tarifa e  shërbimit</c:v>
                </c:pt>
              </c:strCache>
            </c:strRef>
          </c:cat>
          <c:val>
            <c:numRef>
              <c:f>Viz!$B$2:$B$4</c:f>
              <c:numCache>
                <c:formatCode>0.00</c:formatCode>
                <c:ptCount val="2"/>
                <c:pt idx="0">
                  <c:v>80</c:v>
                </c:pt>
                <c:pt idx="1">
                  <c:v>45.902052803007329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F9A-44B2-A82C-88E5E47BAD01}"/>
            </c:ext>
          </c:extLst>
        </c:ser>
        <c:ser>
          <c:idx val="1"/>
          <c:order val="1"/>
          <c:tx>
            <c:strRef>
              <c:f>Viz!$C$1</c:f>
              <c:strCache>
                <c:ptCount val="1"/>
                <c:pt idx="0">
                  <c:v>Vlera 2025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Viz!$A$2:$A$4</c:f>
              <c:strCache>
                <c:ptCount val="2"/>
                <c:pt idx="0">
                  <c:v>Mbulimi i popullsisë me shërbimin e menaxhimit të mbetjeve në zonat urbane/rurale</c:v>
                </c:pt>
                <c:pt idx="1">
                  <c:v>Mbulimi kostos së menaxhimit të mbetjeve nga tarifa e  shërbimit</c:v>
                </c:pt>
              </c:strCache>
            </c:strRef>
          </c:cat>
          <c:val>
            <c:numRef>
              <c:f>Viz!$C$2:$C$4</c:f>
              <c:numCache>
                <c:formatCode>0.00</c:formatCode>
                <c:ptCount val="2"/>
                <c:pt idx="0">
                  <c:v>80</c:v>
                </c:pt>
                <c:pt idx="1">
                  <c:v>57.107995993231498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F9A-44B2-A82C-88E5E47BAD0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431588991"/>
        <c:axId val="1431589471"/>
      </c:barChart>
      <c:catAx>
        <c:axId val="143158899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31589471"/>
        <c:crosses val="autoZero"/>
        <c:auto val="1"/>
        <c:lblAlgn val="ctr"/>
        <c:lblOffset val="100"/>
        <c:noMultiLvlLbl val="0"/>
      </c:catAx>
      <c:valAx>
        <c:axId val="143158947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3158899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891</Words>
  <Characters>5083</Characters>
  <Application>Microsoft Office Word</Application>
  <DocSecurity>0</DocSecurity>
  <Lines>42</Lines>
  <Paragraphs>11</Paragraphs>
  <ScaleCrop>false</ScaleCrop>
  <Company/>
  <LinksUpToDate>false</LinksUpToDate>
  <CharactersWithSpaces>5963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Belba</dc:creator>
  <cp:keywords/>
  <dc:description/>
  <cp:lastModifiedBy>Elsa Belba</cp:lastModifiedBy>
  <cp:revision>2</cp:revision>
  <dcterms:created xsi:type="dcterms:W3CDTF">2026-09-28T07:55:00Z</dcterms:created>
  <dcterms:modified xsi:type="dcterms:W3CDTF">2026-09-28T07:56:00Z</dcterms:modified>
</cp:coreProperties>
</file>